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Subtitle"/>
      </w:pPr>
      <w:r>
        <w:t xml:space="preserve">TerraScore · Moldova</w:t>
      </w:r>
    </w:p>
    <w:p>
      <w:pPr>
        <w:pStyle w:val="Title"/>
      </w:pPr>
      <w:r>
        <w:t xml:space="preserve">Buletin climatic sezonier</w:t>
      </w:r>
    </w:p>
    <w:p>
      <w:pPr>
        <w:pStyle w:val="Heading1"/>
      </w:pPr>
      <w:r>
        <w:t xml:space="preserve">Celulă centrală · context Orhei și Rezina · 2026-04-01 — 2026-09-30</w:t>
      </w:r>
    </w:p>
    <w:p>
      <w:pPr>
        <w:pStyle w:val="Body"/>
      </w:pPr>
      <w:r>
        <w:t xml:space="preserve">Temperatură și precipitații modelate în două celule NASA POWER. Selectați un interval complet din același an.</w:t>
      </w:r>
    </w:p>
    <w:p>
      <w:pPr>
        <w:pStyle w:val="Heading1"/>
      </w:pPr>
      <w:r>
        <w:t xml:space="preserve">Selecție</w:t>
      </w:r>
    </w:p>
    <w:p>
      <w:pPr>
        <w:pStyle w:val="Body"/>
      </w:pPr>
      <w:r>
        <w:t xml:space="preserve">Este necesară acoperire de 100% a zilelor pentru fiecare indicator. Zero fizic și lipsa valorii sunt distincte.</w:t>
      </w:r>
    </w:p>
    <w:tbl>
      <w:tblPr>
        <w:tblW w:w="10000" w:type="dxa"/>
        <w:tblBorders>
          <w:bottom w:val="single" w:sz="4" w:color="D9DFE8"/>
          <w:insideH w:val="single" w:sz="4" w:color="D9DFE8"/>
        </w:tblBorders>
      </w:tblPr>
      <w:tblGrid>
        <w:gridCol w:w="2500"/>
        <w:gridCol w:w="2500"/>
        <w:gridCol w:w="2500"/>
        <w:gridCol w:w="2500"/>
      </w:tblGrid>
      <w:tr>
        <w:trPr>
          <w:cantSplit/>
          <w:tblHeader/>
        </w:trPr>
        <w:tc>
          <w:tcPr>
            <w:tcW w:w="2500" w:type="dxa"/>
            <w:shd w:fill="F5F5F5"/>
          </w:tcPr>
          <w:p>
            <w:pPr>
              <w:pStyle w:val="Body"/>
              <w:keepNext/>
            </w:pPr>
            <w:r>
              <w:t xml:space="preserve">Indicator</w:t>
            </w:r>
          </w:p>
        </w:tc>
        <w:tc>
          <w:tcPr>
            <w:tcW w:w="2500" w:type="dxa"/>
            <w:shd w:fill="F5F5F5"/>
          </w:tcPr>
          <w:p>
            <w:pPr>
              <w:pStyle w:val="Body"/>
              <w:keepNext/>
            </w:pPr>
            <w:r>
              <w:t xml:space="preserve">Valoare</w:t>
            </w:r>
          </w:p>
        </w:tc>
        <w:tc>
          <w:tcPr>
            <w:tcW w:w="2500" w:type="dxa"/>
            <w:shd w:fill="F5F5F5"/>
          </w:tcPr>
          <w:p>
            <w:pPr>
              <w:pStyle w:val="Body"/>
              <w:keepNext/>
            </w:pPr>
            <w:r>
              <w:t xml:space="preserve">Unitate</w:t>
            </w:r>
          </w:p>
        </w:tc>
        <w:tc>
          <w:tcPr>
            <w:tcW w:w="2500" w:type="dxa"/>
            <w:shd w:fill="F5F5F5"/>
          </w:tcPr>
          <w:p>
            <w:pPr>
              <w:pStyle w:val="Body"/>
              <w:keepNext/>
            </w:pPr>
            <w:r>
              <w:t xml:space="preserve">Acoperire</w:t>
            </w:r>
          </w:p>
        </w:tc>
      </w:tr>
      <w:tr>
        <w:trPr>
          <w:cantSplit/>
        </w:trPr>
        <w:tc>
          <w:tcPr>
            <w:tcW w:w="2500" w:type="dxa"/>
          </w:tcPr>
          <w:p>
            <w:pPr>
              <w:pStyle w:val="Body"/>
            </w:pPr>
            <w:r>
              <w:t xml:space="preserve">Precipitații cumulate</w:t>
            </w:r>
          </w:p>
        </w:tc>
        <w:tc>
          <w:tcPr>
            <w:tcW w:w="2500" w:type="dxa"/>
          </w:tcPr>
          <w:p>
            <w:pPr>
              <w:pStyle w:val="Body"/>
            </w:pPr>
            <w:r>
              <w:t xml:space="preserve">254.44</w:t>
            </w:r>
          </w:p>
        </w:tc>
        <w:tc>
          <w:tcPr>
            <w:tcW w:w="2500" w:type="dxa"/>
          </w:tcPr>
          <w:p>
            <w:pPr>
              <w:pStyle w:val="Body"/>
            </w:pPr>
            <w:r>
              <w:t xml:space="preserve">mm</w:t>
            </w:r>
          </w:p>
        </w:tc>
        <w:tc>
          <w:tcPr>
            <w:tcW w:w="2500" w:type="dxa"/>
          </w:tcPr>
          <w:p>
            <w:pPr>
              <w:pStyle w:val="Body"/>
            </w:pPr>
            <w:r>
              <w:t xml:space="preserve">183/183</w:t>
            </w:r>
          </w:p>
        </w:tc>
      </w:tr>
      <w:tr>
        <w:trPr>
          <w:cantSplit/>
        </w:trPr>
        <w:tc>
          <w:tcPr>
            <w:tcW w:w="2500" w:type="dxa"/>
          </w:tcPr>
          <w:p>
            <w:pPr>
              <w:pStyle w:val="Body"/>
            </w:pPr>
            <w:r>
              <w:t xml:space="preserve">Temperatură medie</w:t>
            </w:r>
          </w:p>
        </w:tc>
        <w:tc>
          <w:tcPr>
            <w:tcW w:w="2500" w:type="dxa"/>
          </w:tcPr>
          <w:p>
            <w:pPr>
              <w:pStyle w:val="Body"/>
            </w:pPr>
            <w:r>
              <w:t xml:space="preserve">18.56</w:t>
            </w:r>
          </w:p>
        </w:tc>
        <w:tc>
          <w:tcPr>
            <w:tcW w:w="2500" w:type="dxa"/>
          </w:tcPr>
          <w:p>
            <w:pPr>
              <w:pStyle w:val="Body"/>
            </w:pPr>
            <w:r>
              <w:t xml:space="preserve">°C</w:t>
            </w:r>
          </w:p>
        </w:tc>
        <w:tc>
          <w:tcPr>
            <w:tcW w:w="2500" w:type="dxa"/>
          </w:tcPr>
          <w:p>
            <w:pPr>
              <w:pStyle w:val="Body"/>
            </w:pPr>
            <w:r>
              <w:t xml:space="preserve">183/183</w:t>
            </w:r>
          </w:p>
        </w:tc>
      </w:tr>
      <w:tr>
        <w:trPr>
          <w:cantSplit/>
        </w:trPr>
        <w:tc>
          <w:tcPr>
            <w:tcW w:w="2500" w:type="dxa"/>
          </w:tcPr>
          <w:p>
            <w:pPr>
              <w:pStyle w:val="Body"/>
            </w:pPr>
            <w:r>
              <w:t xml:space="preserve">Zile cu Tmax &gt;30°C</w:t>
            </w:r>
          </w:p>
        </w:tc>
        <w:tc>
          <w:tcPr>
            <w:tcW w:w="2500" w:type="dxa"/>
          </w:tcPr>
          <w:p>
            <w:pPr>
              <w:pStyle w:val="Body"/>
            </w:pPr>
            <w:r>
              <w:t xml:space="preserve">42.00</w:t>
            </w:r>
          </w:p>
        </w:tc>
        <w:tc>
          <w:tcPr>
            <w:tcW w:w="2500" w:type="dxa"/>
          </w:tcPr>
          <w:p>
            <w:pPr>
              <w:pStyle w:val="Body"/>
            </w:pPr>
            <w:r>
              <w:t xml:space="preserve">zile</w:t>
            </w:r>
          </w:p>
        </w:tc>
        <w:tc>
          <w:tcPr>
            <w:tcW w:w="2500" w:type="dxa"/>
          </w:tcPr>
          <w:p>
            <w:pPr>
              <w:pStyle w:val="Body"/>
            </w:pPr>
            <w:r>
              <w:t xml:space="preserve">183/183</w:t>
            </w:r>
          </w:p>
        </w:tc>
      </w:tr>
      <w:tr>
        <w:trPr>
          <w:cantSplit/>
        </w:trPr>
        <w:tc>
          <w:tcPr>
            <w:tcW w:w="2500" w:type="dxa"/>
          </w:tcPr>
          <w:p>
            <w:pPr>
              <w:pStyle w:val="Body"/>
            </w:pPr>
            <w:r>
              <w:t xml:space="preserve">Zile cu Tmax &gt;35°C</w:t>
            </w:r>
          </w:p>
        </w:tc>
        <w:tc>
          <w:tcPr>
            <w:tcW w:w="2500" w:type="dxa"/>
          </w:tcPr>
          <w:p>
            <w:pPr>
              <w:pStyle w:val="Body"/>
            </w:pPr>
            <w:r>
              <w:t xml:space="preserve">13.00</w:t>
            </w:r>
          </w:p>
        </w:tc>
        <w:tc>
          <w:tcPr>
            <w:tcW w:w="2500" w:type="dxa"/>
          </w:tcPr>
          <w:p>
            <w:pPr>
              <w:pStyle w:val="Body"/>
            </w:pPr>
            <w:r>
              <w:t xml:space="preserve">zile</w:t>
            </w:r>
          </w:p>
        </w:tc>
        <w:tc>
          <w:tcPr>
            <w:tcW w:w="2500" w:type="dxa"/>
          </w:tcPr>
          <w:p>
            <w:pPr>
              <w:pStyle w:val="Body"/>
            </w:pPr>
            <w:r>
              <w:t xml:space="preserve">183/183</w:t>
            </w:r>
          </w:p>
        </w:tc>
      </w:tr>
      <w:tr>
        <w:trPr>
          <w:cantSplit/>
        </w:trPr>
        <w:tc>
          <w:tcPr>
            <w:tcW w:w="2500" w:type="dxa"/>
          </w:tcPr>
          <w:p>
            <w:pPr>
              <w:pStyle w:val="Body"/>
            </w:pPr>
            <w:r>
              <w:t xml:space="preserve">Cea mai lungă perioadă cu P &lt;1 mm/zi</w:t>
            </w:r>
          </w:p>
        </w:tc>
        <w:tc>
          <w:tcPr>
            <w:tcW w:w="2500" w:type="dxa"/>
          </w:tcPr>
          <w:p>
            <w:pPr>
              <w:pStyle w:val="Body"/>
            </w:pPr>
            <w:r>
              <w:t xml:space="preserve">17.00</w:t>
            </w:r>
          </w:p>
        </w:tc>
        <w:tc>
          <w:tcPr>
            <w:tcW w:w="2500" w:type="dxa"/>
          </w:tcPr>
          <w:p>
            <w:pPr>
              <w:pStyle w:val="Body"/>
            </w:pPr>
            <w:r>
              <w:t xml:space="preserve">zile</w:t>
            </w:r>
          </w:p>
        </w:tc>
        <w:tc>
          <w:tcPr>
            <w:tcW w:w="2500" w:type="dxa"/>
          </w:tcPr>
          <w:p>
            <w:pPr>
              <w:pStyle w:val="Body"/>
            </w:pPr>
            <w:r>
              <w:t xml:space="preserve">183/183</w:t>
            </w:r>
          </w:p>
        </w:tc>
      </w:tr>
    </w:tbl>
    <w:p>
      <w:pPr>
        <w:pStyle w:val="Heading1"/>
      </w:pPr>
      <w:r>
        <w:t xml:space="preserve">Comparație cu 1991–2020</w:t>
      </w:r>
    </w:p>
    <w:p>
      <w:pPr>
        <w:pStyle w:val="Body"/>
      </w:pPr>
      <w:r>
        <w:t xml:space="preserve">Aceeași fereastră calendaristică în 30 de ani MERRA-2. 29 februarie este exclus din ambele părți ale comparației; totalurile selectate îl includ. Diferențe în unitatea indicatorului, nu procente.</w:t>
      </w:r>
    </w:p>
    <w:tbl>
      <w:tblPr>
        <w:tblW w:w="10000" w:type="dxa"/>
        <w:tblBorders>
          <w:bottom w:val="single" w:sz="4" w:color="D9DFE8"/>
          <w:insideH w:val="single" w:sz="4" w:color="D9DFE8"/>
        </w:tblBorders>
      </w:tblPr>
      <w:tblGrid>
        <w:gridCol w:w="2000"/>
        <w:gridCol w:w="2000"/>
        <w:gridCol w:w="2000"/>
        <w:gridCol w:w="2000"/>
        <w:gridCol w:w="2000"/>
      </w:tblGrid>
      <w:tr>
        <w:trPr>
          <w:cantSplit/>
          <w:tblHeader/>
        </w:trPr>
        <w:tc>
          <w:tcPr>
            <w:tcW w:w="2000" w:type="dxa"/>
            <w:shd w:fill="F5F5F5"/>
          </w:tcPr>
          <w:p>
            <w:pPr>
              <w:pStyle w:val="Body"/>
              <w:keepNext/>
            </w:pPr>
            <w:r>
              <w:t xml:space="preserve">Indicator</w:t>
            </w:r>
          </w:p>
        </w:tc>
        <w:tc>
          <w:tcPr>
            <w:tcW w:w="2000" w:type="dxa"/>
            <w:shd w:fill="F5F5F5"/>
          </w:tcPr>
          <w:p>
            <w:pPr>
              <w:pStyle w:val="Body"/>
              <w:keepNext/>
            </w:pPr>
            <w:r>
              <w:t xml:space="preserve">Selectat fără 29 feb.</w:t>
            </w:r>
          </w:p>
        </w:tc>
        <w:tc>
          <w:tcPr>
            <w:tcW w:w="2000" w:type="dxa"/>
            <w:shd w:fill="F5F5F5"/>
          </w:tcPr>
          <w:p>
            <w:pPr>
              <w:pStyle w:val="Body"/>
              <w:keepNext/>
            </w:pPr>
            <w:r>
              <w:t xml:space="preserve">1991–2020</w:t>
            </w:r>
          </w:p>
        </w:tc>
        <w:tc>
          <w:tcPr>
            <w:tcW w:w="2000" w:type="dxa"/>
            <w:shd w:fill="F5F5F5"/>
          </w:tcPr>
          <w:p>
            <w:pPr>
              <w:pStyle w:val="Body"/>
              <w:keepNext/>
            </w:pPr>
            <w:r>
              <w:t xml:space="preserve">Diferență</w:t>
            </w:r>
          </w:p>
        </w:tc>
        <w:tc>
          <w:tcPr>
            <w:tcW w:w="2000" w:type="dxa"/>
            <w:shd w:fill="F5F5F5"/>
          </w:tcPr>
          <w:p>
            <w:pPr>
              <w:pStyle w:val="Body"/>
              <w:keepNext/>
            </w:pPr>
            <w:r>
              <w:t xml:space="preserve">Stare</w:t>
            </w:r>
          </w:p>
        </w:tc>
      </w:tr>
      <w:tr>
        <w:trPr>
          <w:cantSplit/>
        </w:trPr>
        <w:tc>
          <w:tcPr>
            <w:tcW w:w="2000" w:type="dxa"/>
          </w:tcPr>
          <w:p>
            <w:pPr>
              <w:pStyle w:val="Body"/>
            </w:pPr>
            <w:r>
              <w:t xml:space="preserve">Precipitații cumulate</w:t>
            </w:r>
          </w:p>
        </w:tc>
        <w:tc>
          <w:tcPr>
            <w:tcW w:w="2000" w:type="dxa"/>
          </w:tcPr>
          <w:p>
            <w:pPr>
              <w:pStyle w:val="Body"/>
            </w:pPr>
            <w:r>
              <w:t xml:space="preserve">254.44</w:t>
            </w:r>
          </w:p>
        </w:tc>
        <w:tc>
          <w:tcPr>
            <w:tcW w:w="2000" w:type="dxa"/>
          </w:tcPr>
          <w:p>
            <w:pPr>
              <w:pStyle w:val="Body"/>
            </w:pPr>
            <w:r>
              <w:t xml:space="preserve">Nu este calculat</w:t>
            </w:r>
          </w:p>
        </w:tc>
        <w:tc>
          <w:tcPr>
            <w:tcW w:w="2000" w:type="dxa"/>
          </w:tcPr>
          <w:p>
            <w:pPr>
              <w:pStyle w:val="Body"/>
            </w:pPr>
            <w:r>
              <w:t xml:space="preserve">Nu este calculat</w:t>
            </w:r>
          </w:p>
        </w:tc>
        <w:tc>
          <w:tcPr>
            <w:tcW w:w="2000" w:type="dxa"/>
          </w:tcPr>
          <w:p>
            <w:pPr>
              <w:pStyle w:val="Body"/>
            </w:pPr>
            <w:r>
              <w:t xml:space="preserve">Nerecalculat: model recent necomparabil</w:t>
            </w:r>
          </w:p>
        </w:tc>
      </w:tr>
      <w:tr>
        <w:trPr>
          <w:cantSplit/>
        </w:trPr>
        <w:tc>
          <w:tcPr>
            <w:tcW w:w="2000" w:type="dxa"/>
          </w:tcPr>
          <w:p>
            <w:pPr>
              <w:pStyle w:val="Body"/>
            </w:pPr>
            <w:r>
              <w:t xml:space="preserve">Temperatură medie</w:t>
            </w:r>
          </w:p>
        </w:tc>
        <w:tc>
          <w:tcPr>
            <w:tcW w:w="2000" w:type="dxa"/>
          </w:tcPr>
          <w:p>
            <w:pPr>
              <w:pStyle w:val="Body"/>
            </w:pPr>
            <w:r>
              <w:t xml:space="preserve">18.56</w:t>
            </w:r>
          </w:p>
        </w:tc>
        <w:tc>
          <w:tcPr>
            <w:tcW w:w="2000" w:type="dxa"/>
          </w:tcPr>
          <w:p>
            <w:pPr>
              <w:pStyle w:val="Body"/>
            </w:pPr>
            <w:r>
              <w:t xml:space="preserve">Nu este calculat</w:t>
            </w:r>
          </w:p>
        </w:tc>
        <w:tc>
          <w:tcPr>
            <w:tcW w:w="2000" w:type="dxa"/>
          </w:tcPr>
          <w:p>
            <w:pPr>
              <w:pStyle w:val="Body"/>
            </w:pPr>
            <w:r>
              <w:t xml:space="preserve">Nu este calculat</w:t>
            </w:r>
          </w:p>
        </w:tc>
        <w:tc>
          <w:tcPr>
            <w:tcW w:w="2000" w:type="dxa"/>
          </w:tcPr>
          <w:p>
            <w:pPr>
              <w:pStyle w:val="Body"/>
            </w:pPr>
            <w:r>
              <w:t xml:space="preserve">Nerecalculat: model recent necomparabil</w:t>
            </w:r>
          </w:p>
        </w:tc>
      </w:tr>
      <w:tr>
        <w:trPr>
          <w:cantSplit/>
        </w:trPr>
        <w:tc>
          <w:tcPr>
            <w:tcW w:w="2000" w:type="dxa"/>
          </w:tcPr>
          <w:p>
            <w:pPr>
              <w:pStyle w:val="Body"/>
            </w:pPr>
            <w:r>
              <w:t xml:space="preserve">Zile cu Tmax &gt;30°C</w:t>
            </w:r>
          </w:p>
        </w:tc>
        <w:tc>
          <w:tcPr>
            <w:tcW w:w="2000" w:type="dxa"/>
          </w:tcPr>
          <w:p>
            <w:pPr>
              <w:pStyle w:val="Body"/>
            </w:pPr>
            <w:r>
              <w:t xml:space="preserve">42.00</w:t>
            </w:r>
          </w:p>
        </w:tc>
        <w:tc>
          <w:tcPr>
            <w:tcW w:w="2000" w:type="dxa"/>
          </w:tcPr>
          <w:p>
            <w:pPr>
              <w:pStyle w:val="Body"/>
            </w:pPr>
            <w:r>
              <w:t xml:space="preserve">Nu este calculat</w:t>
            </w:r>
          </w:p>
        </w:tc>
        <w:tc>
          <w:tcPr>
            <w:tcW w:w="2000" w:type="dxa"/>
          </w:tcPr>
          <w:p>
            <w:pPr>
              <w:pStyle w:val="Body"/>
            </w:pPr>
            <w:r>
              <w:t xml:space="preserve">Nu este calculat</w:t>
            </w:r>
          </w:p>
        </w:tc>
        <w:tc>
          <w:tcPr>
            <w:tcW w:w="2000" w:type="dxa"/>
          </w:tcPr>
          <w:p>
            <w:pPr>
              <w:pStyle w:val="Body"/>
            </w:pPr>
            <w:r>
              <w:t xml:space="preserve">Nerecalculat: model recent necomparabil</w:t>
            </w:r>
          </w:p>
        </w:tc>
      </w:tr>
      <w:tr>
        <w:trPr>
          <w:cantSplit/>
        </w:trPr>
        <w:tc>
          <w:tcPr>
            <w:tcW w:w="2000" w:type="dxa"/>
          </w:tcPr>
          <w:p>
            <w:pPr>
              <w:pStyle w:val="Body"/>
            </w:pPr>
            <w:r>
              <w:t xml:space="preserve">Zile cu Tmax &gt;35°C</w:t>
            </w:r>
          </w:p>
        </w:tc>
        <w:tc>
          <w:tcPr>
            <w:tcW w:w="2000" w:type="dxa"/>
          </w:tcPr>
          <w:p>
            <w:pPr>
              <w:pStyle w:val="Body"/>
            </w:pPr>
            <w:r>
              <w:t xml:space="preserve">13.00</w:t>
            </w:r>
          </w:p>
        </w:tc>
        <w:tc>
          <w:tcPr>
            <w:tcW w:w="2000" w:type="dxa"/>
          </w:tcPr>
          <w:p>
            <w:pPr>
              <w:pStyle w:val="Body"/>
            </w:pPr>
            <w:r>
              <w:t xml:space="preserve">Nu este calculat</w:t>
            </w:r>
          </w:p>
        </w:tc>
        <w:tc>
          <w:tcPr>
            <w:tcW w:w="2000" w:type="dxa"/>
          </w:tcPr>
          <w:p>
            <w:pPr>
              <w:pStyle w:val="Body"/>
            </w:pPr>
            <w:r>
              <w:t xml:space="preserve">Nu este calculat</w:t>
            </w:r>
          </w:p>
        </w:tc>
        <w:tc>
          <w:tcPr>
            <w:tcW w:w="2000" w:type="dxa"/>
          </w:tcPr>
          <w:p>
            <w:pPr>
              <w:pStyle w:val="Body"/>
            </w:pPr>
            <w:r>
              <w:t xml:space="preserve">Nerecalculat: model recent necomparabil</w:t>
            </w:r>
          </w:p>
        </w:tc>
      </w:tr>
      <w:tr>
        <w:trPr>
          <w:cantSplit/>
        </w:trPr>
        <w:tc>
          <w:tcPr>
            <w:tcW w:w="2000" w:type="dxa"/>
          </w:tcPr>
          <w:p>
            <w:pPr>
              <w:pStyle w:val="Body"/>
            </w:pPr>
            <w:r>
              <w:t xml:space="preserve">Cea mai lungă perioadă cu P &lt;1 mm/zi</w:t>
            </w:r>
          </w:p>
        </w:tc>
        <w:tc>
          <w:tcPr>
            <w:tcW w:w="2000" w:type="dxa"/>
          </w:tcPr>
          <w:p>
            <w:pPr>
              <w:pStyle w:val="Body"/>
            </w:pPr>
            <w:r>
              <w:t xml:space="preserve">17.00</w:t>
            </w:r>
          </w:p>
        </w:tc>
        <w:tc>
          <w:tcPr>
            <w:tcW w:w="2000" w:type="dxa"/>
          </w:tcPr>
          <w:p>
            <w:pPr>
              <w:pStyle w:val="Body"/>
            </w:pPr>
            <w:r>
              <w:t xml:space="preserve">Nu este calculat</w:t>
            </w:r>
          </w:p>
        </w:tc>
        <w:tc>
          <w:tcPr>
            <w:tcW w:w="2000" w:type="dxa"/>
          </w:tcPr>
          <w:p>
            <w:pPr>
              <w:pStyle w:val="Body"/>
            </w:pPr>
            <w:r>
              <w:t xml:space="preserve">Nu este calculat</w:t>
            </w:r>
          </w:p>
        </w:tc>
        <w:tc>
          <w:tcPr>
            <w:tcW w:w="2000" w:type="dxa"/>
          </w:tcPr>
          <w:p>
            <w:pPr>
              <w:pStyle w:val="Body"/>
            </w:pPr>
            <w:r>
              <w:t xml:space="preserve">Nerecalculat: model recent necomparabil</w:t>
            </w:r>
          </w:p>
        </w:tc>
      </w:tr>
    </w:tbl>
    <w:p>
      <w:pPr>
        <w:pStyle w:val="Heading1"/>
      </w:pPr>
      <w:r>
        <w:t xml:space="preserve">Istoricul indicatorilor climatici pentru intervalul selectat</w:t>
      </w:r>
    </w:p>
    <w:p>
      <w:pPr>
        <w:pStyle w:val="Body"/>
      </w:pPr>
      <w:r>
        <w:t xml:space="preserve">Valorile absolute pentru aceleași date calendaristice în fiecare an disponibil. O serie la un punct nu demonstrează efecte asupra recoltei.</w:t>
      </w:r>
    </w:p>
    <w:tbl>
      <w:tblPr>
        <w:tblW w:w="10000" w:type="dxa"/>
        <w:tblBorders>
          <w:bottom w:val="single" w:sz="4" w:color="D9DFE8"/>
          <w:insideH w:val="single" w:sz="4" w:color="D9DFE8"/>
        </w:tblBorders>
      </w:tblPr>
      <w:tblGrid>
        <w:gridCol w:w="2000"/>
        <w:gridCol w:w="2000"/>
        <w:gridCol w:w="2000"/>
        <w:gridCol w:w="2000"/>
        <w:gridCol w:w="2000"/>
      </w:tblGrid>
      <w:tr>
        <w:trPr>
          <w:cantSplit/>
          <w:tblHeader/>
        </w:trPr>
        <w:tc>
          <w:tcPr>
            <w:tcW w:w="2000" w:type="dxa"/>
            <w:shd w:fill="F5F5F5"/>
          </w:tcPr>
          <w:p>
            <w:pPr>
              <w:pStyle w:val="Body"/>
              <w:keepNext/>
            </w:pPr>
            <w:r>
              <w:t xml:space="preserve">An</w:t>
            </w:r>
          </w:p>
        </w:tc>
        <w:tc>
          <w:tcPr>
            <w:tcW w:w="2000" w:type="dxa"/>
            <w:shd w:fill="F5F5F5"/>
          </w:tcPr>
          <w:p>
            <w:pPr>
              <w:pStyle w:val="Body"/>
              <w:keepNext/>
            </w:pPr>
            <w:r>
              <w:t xml:space="preserve">Precipitații cumulate mm</w:t>
            </w:r>
          </w:p>
        </w:tc>
        <w:tc>
          <w:tcPr>
            <w:tcW w:w="2000" w:type="dxa"/>
            <w:shd w:fill="F5F5F5"/>
          </w:tcPr>
          <w:p>
            <w:pPr>
              <w:pStyle w:val="Body"/>
              <w:keepNext/>
            </w:pPr>
            <w:r>
              <w:t xml:space="preserve">Temperatură medie °C</w:t>
            </w:r>
          </w:p>
        </w:tc>
        <w:tc>
          <w:tcPr>
            <w:tcW w:w="2000" w:type="dxa"/>
            <w:shd w:fill="F5F5F5"/>
          </w:tcPr>
          <w:p>
            <w:pPr>
              <w:pStyle w:val="Body"/>
              <w:keepNext/>
            </w:pPr>
            <w:r>
              <w:t xml:space="preserve">Tmax &gt;30°C · zile</w:t>
            </w:r>
          </w:p>
        </w:tc>
        <w:tc>
          <w:tcPr>
            <w:tcW w:w="2000" w:type="dxa"/>
            <w:shd w:fill="F5F5F5"/>
          </w:tcPr>
          <w:p>
            <w:pPr>
              <w:pStyle w:val="Body"/>
              <w:keepNext/>
            </w:pPr>
            <w:r>
              <w:t xml:space="preserve">P &lt;1mm · zile</w:t>
            </w:r>
          </w:p>
        </w:tc>
      </w:tr>
      <w:tr>
        <w:trPr>
          <w:cantSplit/>
        </w:trPr>
        <w:tc>
          <w:tcPr>
            <w:tcW w:w="2000" w:type="dxa"/>
          </w:tcPr>
          <w:p>
            <w:pPr>
              <w:pStyle w:val="Body"/>
            </w:pPr>
            <w:r>
              <w:t xml:space="preserve">1991</w:t>
            </w:r>
          </w:p>
        </w:tc>
        <w:tc>
          <w:tcPr>
            <w:tcW w:w="2000" w:type="dxa"/>
          </w:tcPr>
          <w:p>
            <w:pPr>
              <w:pStyle w:val="Body"/>
            </w:pPr>
            <w:r>
              <w:t xml:space="preserve">458.68</w:t>
            </w:r>
          </w:p>
        </w:tc>
        <w:tc>
          <w:tcPr>
            <w:tcW w:w="2000" w:type="dxa"/>
          </w:tcPr>
          <w:p>
            <w:pPr>
              <w:pStyle w:val="Body"/>
            </w:pPr>
            <w:r>
              <w:t xml:space="preserve">17.10</w:t>
            </w:r>
          </w:p>
        </w:tc>
        <w:tc>
          <w:tcPr>
            <w:tcW w:w="2000" w:type="dxa"/>
          </w:tcPr>
          <w:p>
            <w:pPr>
              <w:pStyle w:val="Body"/>
            </w:pPr>
            <w:r>
              <w:t xml:space="preserve">16.00</w:t>
            </w:r>
          </w:p>
        </w:tc>
        <w:tc>
          <w:tcPr>
            <w:tcW w:w="2000" w:type="dxa"/>
          </w:tcPr>
          <w:p>
            <w:pPr>
              <w:pStyle w:val="Body"/>
            </w:pPr>
            <w:r>
              <w:t xml:space="preserve">11.00</w:t>
            </w:r>
          </w:p>
        </w:tc>
      </w:tr>
      <w:tr>
        <w:trPr>
          <w:cantSplit/>
        </w:trPr>
        <w:tc>
          <w:tcPr>
            <w:tcW w:w="2000" w:type="dxa"/>
          </w:tcPr>
          <w:p>
            <w:pPr>
              <w:pStyle w:val="Body"/>
            </w:pPr>
            <w:r>
              <w:t xml:space="preserve">1992</w:t>
            </w:r>
          </w:p>
        </w:tc>
        <w:tc>
          <w:tcPr>
            <w:tcW w:w="2000" w:type="dxa"/>
          </w:tcPr>
          <w:p>
            <w:pPr>
              <w:pStyle w:val="Body"/>
            </w:pPr>
            <w:r>
              <w:t xml:space="preserve">212.04</w:t>
            </w:r>
          </w:p>
        </w:tc>
        <w:tc>
          <w:tcPr>
            <w:tcW w:w="2000" w:type="dxa"/>
          </w:tcPr>
          <w:p>
            <w:pPr>
              <w:pStyle w:val="Body"/>
            </w:pPr>
            <w:r>
              <w:t xml:space="preserve">17.76</w:t>
            </w:r>
          </w:p>
        </w:tc>
        <w:tc>
          <w:tcPr>
            <w:tcW w:w="2000" w:type="dxa"/>
          </w:tcPr>
          <w:p>
            <w:pPr>
              <w:pStyle w:val="Body"/>
            </w:pPr>
            <w:r>
              <w:t xml:space="preserve">43.00</w:t>
            </w:r>
          </w:p>
        </w:tc>
        <w:tc>
          <w:tcPr>
            <w:tcW w:w="2000" w:type="dxa"/>
          </w:tcPr>
          <w:p>
            <w:pPr>
              <w:pStyle w:val="Body"/>
            </w:pPr>
            <w:r>
              <w:t xml:space="preserve">14.00</w:t>
            </w:r>
          </w:p>
        </w:tc>
      </w:tr>
      <w:tr>
        <w:trPr>
          <w:cantSplit/>
        </w:trPr>
        <w:tc>
          <w:tcPr>
            <w:tcW w:w="2000" w:type="dxa"/>
          </w:tcPr>
          <w:p>
            <w:pPr>
              <w:pStyle w:val="Body"/>
            </w:pPr>
            <w:r>
              <w:t xml:space="preserve">1993</w:t>
            </w:r>
          </w:p>
        </w:tc>
        <w:tc>
          <w:tcPr>
            <w:tcW w:w="2000" w:type="dxa"/>
          </w:tcPr>
          <w:p>
            <w:pPr>
              <w:pStyle w:val="Body"/>
            </w:pPr>
            <w:r>
              <w:t xml:space="preserve">303.90</w:t>
            </w:r>
          </w:p>
        </w:tc>
        <w:tc>
          <w:tcPr>
            <w:tcW w:w="2000" w:type="dxa"/>
          </w:tcPr>
          <w:p>
            <w:pPr>
              <w:pStyle w:val="Body"/>
            </w:pPr>
            <w:r>
              <w:t xml:space="preserve">16.73</w:t>
            </w:r>
          </w:p>
        </w:tc>
        <w:tc>
          <w:tcPr>
            <w:tcW w:w="2000" w:type="dxa"/>
          </w:tcPr>
          <w:p>
            <w:pPr>
              <w:pStyle w:val="Body"/>
            </w:pPr>
            <w:r>
              <w:t xml:space="preserve">20.00</w:t>
            </w:r>
          </w:p>
        </w:tc>
        <w:tc>
          <w:tcPr>
            <w:tcW w:w="2000" w:type="dxa"/>
          </w:tcPr>
          <w:p>
            <w:pPr>
              <w:pStyle w:val="Body"/>
            </w:pPr>
            <w:r>
              <w:t xml:space="preserve">14.00</w:t>
            </w:r>
          </w:p>
        </w:tc>
      </w:tr>
      <w:tr>
        <w:trPr>
          <w:cantSplit/>
        </w:trPr>
        <w:tc>
          <w:tcPr>
            <w:tcW w:w="2000" w:type="dxa"/>
          </w:tcPr>
          <w:p>
            <w:pPr>
              <w:pStyle w:val="Body"/>
            </w:pPr>
            <w:r>
              <w:t xml:space="preserve">1994</w:t>
            </w:r>
          </w:p>
        </w:tc>
        <w:tc>
          <w:tcPr>
            <w:tcW w:w="2000" w:type="dxa"/>
          </w:tcPr>
          <w:p>
            <w:pPr>
              <w:pStyle w:val="Body"/>
            </w:pPr>
            <w:r>
              <w:t xml:space="preserve">248.06</w:t>
            </w:r>
          </w:p>
        </w:tc>
        <w:tc>
          <w:tcPr>
            <w:tcW w:w="2000" w:type="dxa"/>
          </w:tcPr>
          <w:p>
            <w:pPr>
              <w:pStyle w:val="Body"/>
            </w:pPr>
            <w:r>
              <w:t xml:space="preserve">19.07</w:t>
            </w:r>
          </w:p>
        </w:tc>
        <w:tc>
          <w:tcPr>
            <w:tcW w:w="2000" w:type="dxa"/>
          </w:tcPr>
          <w:p>
            <w:pPr>
              <w:pStyle w:val="Body"/>
            </w:pPr>
            <w:r>
              <w:t xml:space="preserve">49.00</w:t>
            </w:r>
          </w:p>
        </w:tc>
        <w:tc>
          <w:tcPr>
            <w:tcW w:w="2000" w:type="dxa"/>
          </w:tcPr>
          <w:p>
            <w:pPr>
              <w:pStyle w:val="Body"/>
            </w:pPr>
            <w:r>
              <w:t xml:space="preserve">19.00</w:t>
            </w:r>
          </w:p>
        </w:tc>
      </w:tr>
      <w:tr>
        <w:trPr>
          <w:cantSplit/>
        </w:trPr>
        <w:tc>
          <w:tcPr>
            <w:tcW w:w="2000" w:type="dxa"/>
          </w:tcPr>
          <w:p>
            <w:pPr>
              <w:pStyle w:val="Body"/>
            </w:pPr>
            <w:r>
              <w:t xml:space="preserve">1995</w:t>
            </w:r>
          </w:p>
        </w:tc>
        <w:tc>
          <w:tcPr>
            <w:tcW w:w="2000" w:type="dxa"/>
          </w:tcPr>
          <w:p>
            <w:pPr>
              <w:pStyle w:val="Body"/>
            </w:pPr>
            <w:r>
              <w:t xml:space="preserve">441.97</w:t>
            </w:r>
          </w:p>
        </w:tc>
        <w:tc>
          <w:tcPr>
            <w:tcW w:w="2000" w:type="dxa"/>
          </w:tcPr>
          <w:p>
            <w:pPr>
              <w:pStyle w:val="Body"/>
            </w:pPr>
            <w:r>
              <w:t xml:space="preserve">17.48</w:t>
            </w:r>
          </w:p>
        </w:tc>
        <w:tc>
          <w:tcPr>
            <w:tcW w:w="2000" w:type="dxa"/>
          </w:tcPr>
          <w:p>
            <w:pPr>
              <w:pStyle w:val="Body"/>
            </w:pPr>
            <w:r>
              <w:t xml:space="preserve">33.00</w:t>
            </w:r>
          </w:p>
        </w:tc>
        <w:tc>
          <w:tcPr>
            <w:tcW w:w="2000" w:type="dxa"/>
          </w:tcPr>
          <w:p>
            <w:pPr>
              <w:pStyle w:val="Body"/>
            </w:pPr>
            <w:r>
              <w:t xml:space="preserve">14.00</w:t>
            </w:r>
          </w:p>
        </w:tc>
      </w:tr>
      <w:tr>
        <w:trPr>
          <w:cantSplit/>
        </w:trPr>
        <w:tc>
          <w:tcPr>
            <w:tcW w:w="2000" w:type="dxa"/>
          </w:tcPr>
          <w:p>
            <w:pPr>
              <w:pStyle w:val="Body"/>
            </w:pPr>
            <w:r>
              <w:t xml:space="preserve">1996</w:t>
            </w:r>
          </w:p>
        </w:tc>
        <w:tc>
          <w:tcPr>
            <w:tcW w:w="2000" w:type="dxa"/>
          </w:tcPr>
          <w:p>
            <w:pPr>
              <w:pStyle w:val="Body"/>
            </w:pPr>
            <w:r>
              <w:t xml:space="preserve">339.12</w:t>
            </w:r>
          </w:p>
        </w:tc>
        <w:tc>
          <w:tcPr>
            <w:tcW w:w="2000" w:type="dxa"/>
          </w:tcPr>
          <w:p>
            <w:pPr>
              <w:pStyle w:val="Body"/>
            </w:pPr>
            <w:r>
              <w:t xml:space="preserve">16.94</w:t>
            </w:r>
          </w:p>
        </w:tc>
        <w:tc>
          <w:tcPr>
            <w:tcW w:w="2000" w:type="dxa"/>
          </w:tcPr>
          <w:p>
            <w:pPr>
              <w:pStyle w:val="Body"/>
            </w:pPr>
            <w:r>
              <w:t xml:space="preserve">27.00</w:t>
            </w:r>
          </w:p>
        </w:tc>
        <w:tc>
          <w:tcPr>
            <w:tcW w:w="2000" w:type="dxa"/>
          </w:tcPr>
          <w:p>
            <w:pPr>
              <w:pStyle w:val="Body"/>
            </w:pPr>
            <w:r>
              <w:t xml:space="preserve">20.00</w:t>
            </w:r>
          </w:p>
        </w:tc>
      </w:tr>
      <w:tr>
        <w:trPr>
          <w:cantSplit/>
        </w:trPr>
        <w:tc>
          <w:tcPr>
            <w:tcW w:w="2000" w:type="dxa"/>
          </w:tcPr>
          <w:p>
            <w:pPr>
              <w:pStyle w:val="Body"/>
            </w:pPr>
            <w:r>
              <w:t xml:space="preserve">1997</w:t>
            </w:r>
          </w:p>
        </w:tc>
        <w:tc>
          <w:tcPr>
            <w:tcW w:w="2000" w:type="dxa"/>
          </w:tcPr>
          <w:p>
            <w:pPr>
              <w:pStyle w:val="Body"/>
            </w:pPr>
            <w:r>
              <w:t xml:space="preserve">343.00</w:t>
            </w:r>
          </w:p>
        </w:tc>
        <w:tc>
          <w:tcPr>
            <w:tcW w:w="2000" w:type="dxa"/>
          </w:tcPr>
          <w:p>
            <w:pPr>
              <w:pStyle w:val="Body"/>
            </w:pPr>
            <w:r>
              <w:t xml:space="preserve">16.22</w:t>
            </w:r>
          </w:p>
        </w:tc>
        <w:tc>
          <w:tcPr>
            <w:tcW w:w="2000" w:type="dxa"/>
          </w:tcPr>
          <w:p>
            <w:pPr>
              <w:pStyle w:val="Body"/>
            </w:pPr>
            <w:r>
              <w:t xml:space="preserve">7.00</w:t>
            </w:r>
          </w:p>
        </w:tc>
        <w:tc>
          <w:tcPr>
            <w:tcW w:w="2000" w:type="dxa"/>
          </w:tcPr>
          <w:p>
            <w:pPr>
              <w:pStyle w:val="Body"/>
            </w:pPr>
            <w:r>
              <w:t xml:space="preserve">13.00</w:t>
            </w:r>
          </w:p>
        </w:tc>
      </w:tr>
      <w:tr>
        <w:trPr>
          <w:cantSplit/>
        </w:trPr>
        <w:tc>
          <w:tcPr>
            <w:tcW w:w="2000" w:type="dxa"/>
          </w:tcPr>
          <w:p>
            <w:pPr>
              <w:pStyle w:val="Body"/>
            </w:pPr>
            <w:r>
              <w:t xml:space="preserve">1998</w:t>
            </w:r>
          </w:p>
        </w:tc>
        <w:tc>
          <w:tcPr>
            <w:tcW w:w="2000" w:type="dxa"/>
          </w:tcPr>
          <w:p>
            <w:pPr>
              <w:pStyle w:val="Body"/>
            </w:pPr>
            <w:r>
              <w:t xml:space="preserve">328.58</w:t>
            </w:r>
          </w:p>
        </w:tc>
        <w:tc>
          <w:tcPr>
            <w:tcW w:w="2000" w:type="dxa"/>
          </w:tcPr>
          <w:p>
            <w:pPr>
              <w:pStyle w:val="Body"/>
            </w:pPr>
            <w:r>
              <w:t xml:space="preserve">18.05</w:t>
            </w:r>
          </w:p>
        </w:tc>
        <w:tc>
          <w:tcPr>
            <w:tcW w:w="2000" w:type="dxa"/>
          </w:tcPr>
          <w:p>
            <w:pPr>
              <w:pStyle w:val="Body"/>
            </w:pPr>
            <w:r>
              <w:t xml:space="preserve">30.00</w:t>
            </w:r>
          </w:p>
        </w:tc>
        <w:tc>
          <w:tcPr>
            <w:tcW w:w="2000" w:type="dxa"/>
          </w:tcPr>
          <w:p>
            <w:pPr>
              <w:pStyle w:val="Body"/>
            </w:pPr>
            <w:r>
              <w:t xml:space="preserve">15.00</w:t>
            </w:r>
          </w:p>
        </w:tc>
      </w:tr>
      <w:tr>
        <w:trPr>
          <w:cantSplit/>
        </w:trPr>
        <w:tc>
          <w:tcPr>
            <w:tcW w:w="2000" w:type="dxa"/>
          </w:tcPr>
          <w:p>
            <w:pPr>
              <w:pStyle w:val="Body"/>
            </w:pPr>
            <w:r>
              <w:t xml:space="preserve">1999</w:t>
            </w:r>
          </w:p>
        </w:tc>
        <w:tc>
          <w:tcPr>
            <w:tcW w:w="2000" w:type="dxa"/>
          </w:tcPr>
          <w:p>
            <w:pPr>
              <w:pStyle w:val="Body"/>
            </w:pPr>
            <w:r>
              <w:t xml:space="preserve">246.43</w:t>
            </w:r>
          </w:p>
        </w:tc>
        <w:tc>
          <w:tcPr>
            <w:tcW w:w="2000" w:type="dxa"/>
          </w:tcPr>
          <w:p>
            <w:pPr>
              <w:pStyle w:val="Body"/>
            </w:pPr>
            <w:r>
              <w:t xml:space="preserve">18.44</w:t>
            </w:r>
          </w:p>
        </w:tc>
        <w:tc>
          <w:tcPr>
            <w:tcW w:w="2000" w:type="dxa"/>
          </w:tcPr>
          <w:p>
            <w:pPr>
              <w:pStyle w:val="Body"/>
            </w:pPr>
            <w:r>
              <w:t xml:space="preserve">34.00</w:t>
            </w:r>
          </w:p>
        </w:tc>
        <w:tc>
          <w:tcPr>
            <w:tcW w:w="2000" w:type="dxa"/>
          </w:tcPr>
          <w:p>
            <w:pPr>
              <w:pStyle w:val="Body"/>
            </w:pPr>
            <w:r>
              <w:t xml:space="preserve">15.00</w:t>
            </w:r>
          </w:p>
        </w:tc>
      </w:tr>
      <w:tr>
        <w:trPr>
          <w:cantSplit/>
        </w:trPr>
        <w:tc>
          <w:tcPr>
            <w:tcW w:w="2000" w:type="dxa"/>
          </w:tcPr>
          <w:p>
            <w:pPr>
              <w:pStyle w:val="Body"/>
            </w:pPr>
            <w:r>
              <w:t xml:space="preserve">2000</w:t>
            </w:r>
          </w:p>
        </w:tc>
        <w:tc>
          <w:tcPr>
            <w:tcW w:w="2000" w:type="dxa"/>
          </w:tcPr>
          <w:p>
            <w:pPr>
              <w:pStyle w:val="Body"/>
            </w:pPr>
            <w:r>
              <w:t xml:space="preserve">253.54</w:t>
            </w:r>
          </w:p>
        </w:tc>
        <w:tc>
          <w:tcPr>
            <w:tcW w:w="2000" w:type="dxa"/>
          </w:tcPr>
          <w:p>
            <w:pPr>
              <w:pStyle w:val="Body"/>
            </w:pPr>
            <w:r>
              <w:t xml:space="preserve">18.00</w:t>
            </w:r>
          </w:p>
        </w:tc>
        <w:tc>
          <w:tcPr>
            <w:tcW w:w="2000" w:type="dxa"/>
          </w:tcPr>
          <w:p>
            <w:pPr>
              <w:pStyle w:val="Body"/>
            </w:pPr>
            <w:r>
              <w:t xml:space="preserve">36.00</w:t>
            </w:r>
          </w:p>
        </w:tc>
        <w:tc>
          <w:tcPr>
            <w:tcW w:w="2000" w:type="dxa"/>
          </w:tcPr>
          <w:p>
            <w:pPr>
              <w:pStyle w:val="Body"/>
            </w:pPr>
            <w:r>
              <w:t xml:space="preserve">25.00</w:t>
            </w:r>
          </w:p>
        </w:tc>
      </w:tr>
      <w:tr>
        <w:trPr>
          <w:cantSplit/>
        </w:trPr>
        <w:tc>
          <w:tcPr>
            <w:tcW w:w="2000" w:type="dxa"/>
          </w:tcPr>
          <w:p>
            <w:pPr>
              <w:pStyle w:val="Body"/>
            </w:pPr>
            <w:r>
              <w:t xml:space="preserve">2001</w:t>
            </w:r>
          </w:p>
        </w:tc>
        <w:tc>
          <w:tcPr>
            <w:tcW w:w="2000" w:type="dxa"/>
          </w:tcPr>
          <w:p>
            <w:pPr>
              <w:pStyle w:val="Body"/>
            </w:pPr>
            <w:r>
              <w:t xml:space="preserve">336.46</w:t>
            </w:r>
          </w:p>
        </w:tc>
        <w:tc>
          <w:tcPr>
            <w:tcW w:w="2000" w:type="dxa"/>
          </w:tcPr>
          <w:p>
            <w:pPr>
              <w:pStyle w:val="Body"/>
            </w:pPr>
            <w:r>
              <w:t xml:space="preserve">17.96</w:t>
            </w:r>
          </w:p>
        </w:tc>
        <w:tc>
          <w:tcPr>
            <w:tcW w:w="2000" w:type="dxa"/>
          </w:tcPr>
          <w:p>
            <w:pPr>
              <w:pStyle w:val="Body"/>
            </w:pPr>
            <w:r>
              <w:t xml:space="preserve">40.00</w:t>
            </w:r>
          </w:p>
        </w:tc>
        <w:tc>
          <w:tcPr>
            <w:tcW w:w="2000" w:type="dxa"/>
          </w:tcPr>
          <w:p>
            <w:pPr>
              <w:pStyle w:val="Body"/>
            </w:pPr>
            <w:r>
              <w:t xml:space="preserve">23.00</w:t>
            </w:r>
          </w:p>
        </w:tc>
      </w:tr>
      <w:tr>
        <w:trPr>
          <w:cantSplit/>
        </w:trPr>
        <w:tc>
          <w:tcPr>
            <w:tcW w:w="2000" w:type="dxa"/>
          </w:tcPr>
          <w:p>
            <w:pPr>
              <w:pStyle w:val="Body"/>
            </w:pPr>
            <w:r>
              <w:t xml:space="preserve">2002</w:t>
            </w:r>
          </w:p>
        </w:tc>
        <w:tc>
          <w:tcPr>
            <w:tcW w:w="2000" w:type="dxa"/>
          </w:tcPr>
          <w:p>
            <w:pPr>
              <w:pStyle w:val="Body"/>
            </w:pPr>
            <w:r>
              <w:t xml:space="preserve">303.30</w:t>
            </w:r>
          </w:p>
        </w:tc>
        <w:tc>
          <w:tcPr>
            <w:tcW w:w="2000" w:type="dxa"/>
          </w:tcPr>
          <w:p>
            <w:pPr>
              <w:pStyle w:val="Body"/>
            </w:pPr>
            <w:r>
              <w:t xml:space="preserve">18.42</w:t>
            </w:r>
          </w:p>
        </w:tc>
        <w:tc>
          <w:tcPr>
            <w:tcW w:w="2000" w:type="dxa"/>
          </w:tcPr>
          <w:p>
            <w:pPr>
              <w:pStyle w:val="Body"/>
            </w:pPr>
            <w:r>
              <w:t xml:space="preserve">36.00</w:t>
            </w:r>
          </w:p>
        </w:tc>
        <w:tc>
          <w:tcPr>
            <w:tcW w:w="2000" w:type="dxa"/>
          </w:tcPr>
          <w:p>
            <w:pPr>
              <w:pStyle w:val="Body"/>
            </w:pPr>
            <w:r>
              <w:t xml:space="preserve">25.00</w:t>
            </w:r>
          </w:p>
        </w:tc>
      </w:tr>
      <w:tr>
        <w:trPr>
          <w:cantSplit/>
        </w:trPr>
        <w:tc>
          <w:tcPr>
            <w:tcW w:w="2000" w:type="dxa"/>
          </w:tcPr>
          <w:p>
            <w:pPr>
              <w:pStyle w:val="Body"/>
            </w:pPr>
            <w:r>
              <w:t xml:space="preserve">2003</w:t>
            </w:r>
          </w:p>
        </w:tc>
        <w:tc>
          <w:tcPr>
            <w:tcW w:w="2000" w:type="dxa"/>
          </w:tcPr>
          <w:p>
            <w:pPr>
              <w:pStyle w:val="Body"/>
            </w:pPr>
            <w:r>
              <w:t xml:space="preserve">252.02</w:t>
            </w:r>
          </w:p>
        </w:tc>
        <w:tc>
          <w:tcPr>
            <w:tcW w:w="2000" w:type="dxa"/>
          </w:tcPr>
          <w:p>
            <w:pPr>
              <w:pStyle w:val="Body"/>
            </w:pPr>
            <w:r>
              <w:t xml:space="preserve">17.55</w:t>
            </w:r>
          </w:p>
        </w:tc>
        <w:tc>
          <w:tcPr>
            <w:tcW w:w="2000" w:type="dxa"/>
          </w:tcPr>
          <w:p>
            <w:pPr>
              <w:pStyle w:val="Body"/>
            </w:pPr>
            <w:r>
              <w:t xml:space="preserve">24.00</w:t>
            </w:r>
          </w:p>
        </w:tc>
        <w:tc>
          <w:tcPr>
            <w:tcW w:w="2000" w:type="dxa"/>
          </w:tcPr>
          <w:p>
            <w:pPr>
              <w:pStyle w:val="Body"/>
            </w:pPr>
            <w:r>
              <w:t xml:space="preserve">18.00</w:t>
            </w:r>
          </w:p>
        </w:tc>
      </w:tr>
      <w:tr>
        <w:trPr>
          <w:cantSplit/>
        </w:trPr>
        <w:tc>
          <w:tcPr>
            <w:tcW w:w="2000" w:type="dxa"/>
          </w:tcPr>
          <w:p>
            <w:pPr>
              <w:pStyle w:val="Body"/>
            </w:pPr>
            <w:r>
              <w:t xml:space="preserve">2004</w:t>
            </w:r>
          </w:p>
        </w:tc>
        <w:tc>
          <w:tcPr>
            <w:tcW w:w="2000" w:type="dxa"/>
          </w:tcPr>
          <w:p>
            <w:pPr>
              <w:pStyle w:val="Body"/>
            </w:pPr>
            <w:r>
              <w:t xml:space="preserve">351.01</w:t>
            </w:r>
          </w:p>
        </w:tc>
        <w:tc>
          <w:tcPr>
            <w:tcW w:w="2000" w:type="dxa"/>
          </w:tcPr>
          <w:p>
            <w:pPr>
              <w:pStyle w:val="Body"/>
            </w:pPr>
            <w:r>
              <w:t xml:space="preserve">16.98</w:t>
            </w:r>
          </w:p>
        </w:tc>
        <w:tc>
          <w:tcPr>
            <w:tcW w:w="2000" w:type="dxa"/>
          </w:tcPr>
          <w:p>
            <w:pPr>
              <w:pStyle w:val="Body"/>
            </w:pPr>
            <w:r>
              <w:t xml:space="preserve">22.00</w:t>
            </w:r>
          </w:p>
        </w:tc>
        <w:tc>
          <w:tcPr>
            <w:tcW w:w="2000" w:type="dxa"/>
          </w:tcPr>
          <w:p>
            <w:pPr>
              <w:pStyle w:val="Body"/>
            </w:pPr>
            <w:r>
              <w:t xml:space="preserve">20.00</w:t>
            </w:r>
          </w:p>
        </w:tc>
      </w:tr>
      <w:tr>
        <w:trPr>
          <w:cantSplit/>
        </w:trPr>
        <w:tc>
          <w:tcPr>
            <w:tcW w:w="2000" w:type="dxa"/>
          </w:tcPr>
          <w:p>
            <w:pPr>
              <w:pStyle w:val="Body"/>
            </w:pPr>
            <w:r>
              <w:t xml:space="preserve">2005</w:t>
            </w:r>
          </w:p>
        </w:tc>
        <w:tc>
          <w:tcPr>
            <w:tcW w:w="2000" w:type="dxa"/>
          </w:tcPr>
          <w:p>
            <w:pPr>
              <w:pStyle w:val="Body"/>
            </w:pPr>
            <w:r>
              <w:t xml:space="preserve">381.44</w:t>
            </w:r>
          </w:p>
        </w:tc>
        <w:tc>
          <w:tcPr>
            <w:tcW w:w="2000" w:type="dxa"/>
          </w:tcPr>
          <w:p>
            <w:pPr>
              <w:pStyle w:val="Body"/>
            </w:pPr>
            <w:r>
              <w:t xml:space="preserve">17.67</w:t>
            </w:r>
          </w:p>
        </w:tc>
        <w:tc>
          <w:tcPr>
            <w:tcW w:w="2000" w:type="dxa"/>
          </w:tcPr>
          <w:p>
            <w:pPr>
              <w:pStyle w:val="Body"/>
            </w:pPr>
            <w:r>
              <w:t xml:space="preserve">16.00</w:t>
            </w:r>
          </w:p>
        </w:tc>
        <w:tc>
          <w:tcPr>
            <w:tcW w:w="2000" w:type="dxa"/>
          </w:tcPr>
          <w:p>
            <w:pPr>
              <w:pStyle w:val="Body"/>
            </w:pPr>
            <w:r>
              <w:t xml:space="preserve">20.00</w:t>
            </w:r>
          </w:p>
        </w:tc>
      </w:tr>
      <w:tr>
        <w:trPr>
          <w:cantSplit/>
        </w:trPr>
        <w:tc>
          <w:tcPr>
            <w:tcW w:w="2000" w:type="dxa"/>
          </w:tcPr>
          <w:p>
            <w:pPr>
              <w:pStyle w:val="Body"/>
            </w:pPr>
            <w:r>
              <w:t xml:space="preserve">2006</w:t>
            </w:r>
          </w:p>
        </w:tc>
        <w:tc>
          <w:tcPr>
            <w:tcW w:w="2000" w:type="dxa"/>
          </w:tcPr>
          <w:p>
            <w:pPr>
              <w:pStyle w:val="Body"/>
            </w:pPr>
            <w:r>
              <w:t xml:space="preserve">377.95</w:t>
            </w:r>
          </w:p>
        </w:tc>
        <w:tc>
          <w:tcPr>
            <w:tcW w:w="2000" w:type="dxa"/>
          </w:tcPr>
          <w:p>
            <w:pPr>
              <w:pStyle w:val="Body"/>
            </w:pPr>
            <w:r>
              <w:t xml:space="preserve">17.34</w:t>
            </w:r>
          </w:p>
        </w:tc>
        <w:tc>
          <w:tcPr>
            <w:tcW w:w="2000" w:type="dxa"/>
          </w:tcPr>
          <w:p>
            <w:pPr>
              <w:pStyle w:val="Body"/>
            </w:pPr>
            <w:r>
              <w:t xml:space="preserve">21.00</w:t>
            </w:r>
          </w:p>
        </w:tc>
        <w:tc>
          <w:tcPr>
            <w:tcW w:w="2000" w:type="dxa"/>
          </w:tcPr>
          <w:p>
            <w:pPr>
              <w:pStyle w:val="Body"/>
            </w:pPr>
            <w:r>
              <w:t xml:space="preserve">16.00</w:t>
            </w:r>
          </w:p>
        </w:tc>
      </w:tr>
      <w:tr>
        <w:trPr>
          <w:cantSplit/>
        </w:trPr>
        <w:tc>
          <w:tcPr>
            <w:tcW w:w="2000" w:type="dxa"/>
          </w:tcPr>
          <w:p>
            <w:pPr>
              <w:pStyle w:val="Body"/>
            </w:pPr>
            <w:r>
              <w:t xml:space="preserve">2007</w:t>
            </w:r>
          </w:p>
        </w:tc>
        <w:tc>
          <w:tcPr>
            <w:tcW w:w="2000" w:type="dxa"/>
          </w:tcPr>
          <w:p>
            <w:pPr>
              <w:pStyle w:val="Body"/>
            </w:pPr>
            <w:r>
              <w:t xml:space="preserve">188.72</w:t>
            </w:r>
          </w:p>
        </w:tc>
        <w:tc>
          <w:tcPr>
            <w:tcW w:w="2000" w:type="dxa"/>
          </w:tcPr>
          <w:p>
            <w:pPr>
              <w:pStyle w:val="Body"/>
            </w:pPr>
            <w:r>
              <w:t xml:space="preserve">19.68</w:t>
            </w:r>
          </w:p>
        </w:tc>
        <w:tc>
          <w:tcPr>
            <w:tcW w:w="2000" w:type="dxa"/>
          </w:tcPr>
          <w:p>
            <w:pPr>
              <w:pStyle w:val="Body"/>
            </w:pPr>
            <w:r>
              <w:t xml:space="preserve">65.00</w:t>
            </w:r>
          </w:p>
        </w:tc>
        <w:tc>
          <w:tcPr>
            <w:tcW w:w="2000" w:type="dxa"/>
          </w:tcPr>
          <w:p>
            <w:pPr>
              <w:pStyle w:val="Body"/>
            </w:pPr>
            <w:r>
              <w:t xml:space="preserve">11.00</w:t>
            </w:r>
          </w:p>
        </w:tc>
      </w:tr>
      <w:tr>
        <w:trPr>
          <w:cantSplit/>
        </w:trPr>
        <w:tc>
          <w:tcPr>
            <w:tcW w:w="2000" w:type="dxa"/>
          </w:tcPr>
          <w:p>
            <w:pPr>
              <w:pStyle w:val="Body"/>
            </w:pPr>
            <w:r>
              <w:t xml:space="preserve">2008</w:t>
            </w:r>
          </w:p>
        </w:tc>
        <w:tc>
          <w:tcPr>
            <w:tcW w:w="2000" w:type="dxa"/>
          </w:tcPr>
          <w:p>
            <w:pPr>
              <w:pStyle w:val="Body"/>
            </w:pPr>
            <w:r>
              <w:t xml:space="preserve">346.42</w:t>
            </w:r>
          </w:p>
        </w:tc>
        <w:tc>
          <w:tcPr>
            <w:tcW w:w="2000" w:type="dxa"/>
          </w:tcPr>
          <w:p>
            <w:pPr>
              <w:pStyle w:val="Body"/>
            </w:pPr>
            <w:r>
              <w:t xml:space="preserve">18.01</w:t>
            </w:r>
          </w:p>
        </w:tc>
        <w:tc>
          <w:tcPr>
            <w:tcW w:w="2000" w:type="dxa"/>
          </w:tcPr>
          <w:p>
            <w:pPr>
              <w:pStyle w:val="Body"/>
            </w:pPr>
            <w:r>
              <w:t xml:space="preserve">36.00</w:t>
            </w:r>
          </w:p>
        </w:tc>
        <w:tc>
          <w:tcPr>
            <w:tcW w:w="2000" w:type="dxa"/>
          </w:tcPr>
          <w:p>
            <w:pPr>
              <w:pStyle w:val="Body"/>
            </w:pPr>
            <w:r>
              <w:t xml:space="preserve">13.00</w:t>
            </w:r>
          </w:p>
        </w:tc>
      </w:tr>
      <w:tr>
        <w:trPr>
          <w:cantSplit/>
        </w:trPr>
        <w:tc>
          <w:tcPr>
            <w:tcW w:w="2000" w:type="dxa"/>
          </w:tcPr>
          <w:p>
            <w:pPr>
              <w:pStyle w:val="Body"/>
            </w:pPr>
            <w:r>
              <w:t xml:space="preserve">2009</w:t>
            </w:r>
          </w:p>
        </w:tc>
        <w:tc>
          <w:tcPr>
            <w:tcW w:w="2000" w:type="dxa"/>
          </w:tcPr>
          <w:p>
            <w:pPr>
              <w:pStyle w:val="Body"/>
            </w:pPr>
            <w:r>
              <w:t xml:space="preserve">198.29</w:t>
            </w:r>
          </w:p>
        </w:tc>
        <w:tc>
          <w:tcPr>
            <w:tcW w:w="2000" w:type="dxa"/>
          </w:tcPr>
          <w:p>
            <w:pPr>
              <w:pStyle w:val="Body"/>
            </w:pPr>
            <w:r>
              <w:t xml:space="preserve">18.61</w:t>
            </w:r>
          </w:p>
        </w:tc>
        <w:tc>
          <w:tcPr>
            <w:tcW w:w="2000" w:type="dxa"/>
          </w:tcPr>
          <w:p>
            <w:pPr>
              <w:pStyle w:val="Body"/>
            </w:pPr>
            <w:r>
              <w:t xml:space="preserve">41.00</w:t>
            </w:r>
          </w:p>
        </w:tc>
        <w:tc>
          <w:tcPr>
            <w:tcW w:w="2000" w:type="dxa"/>
          </w:tcPr>
          <w:p>
            <w:pPr>
              <w:pStyle w:val="Body"/>
            </w:pPr>
            <w:r>
              <w:t xml:space="preserve">24.00</w:t>
            </w:r>
          </w:p>
        </w:tc>
      </w:tr>
      <w:tr>
        <w:trPr>
          <w:cantSplit/>
        </w:trPr>
        <w:tc>
          <w:tcPr>
            <w:tcW w:w="2000" w:type="dxa"/>
          </w:tcPr>
          <w:p>
            <w:pPr>
              <w:pStyle w:val="Body"/>
            </w:pPr>
            <w:r>
              <w:t xml:space="preserve">2010</w:t>
            </w:r>
          </w:p>
        </w:tc>
        <w:tc>
          <w:tcPr>
            <w:tcW w:w="2000" w:type="dxa"/>
          </w:tcPr>
          <w:p>
            <w:pPr>
              <w:pStyle w:val="Body"/>
            </w:pPr>
            <w:r>
              <w:t xml:space="preserve">374.78</w:t>
            </w:r>
          </w:p>
        </w:tc>
        <w:tc>
          <w:tcPr>
            <w:tcW w:w="2000" w:type="dxa"/>
          </w:tcPr>
          <w:p>
            <w:pPr>
              <w:pStyle w:val="Body"/>
            </w:pPr>
            <w:r>
              <w:t xml:space="preserve">18.68</w:t>
            </w:r>
          </w:p>
        </w:tc>
        <w:tc>
          <w:tcPr>
            <w:tcW w:w="2000" w:type="dxa"/>
          </w:tcPr>
          <w:p>
            <w:pPr>
              <w:pStyle w:val="Body"/>
            </w:pPr>
            <w:r>
              <w:t xml:space="preserve">38.00</w:t>
            </w:r>
          </w:p>
        </w:tc>
        <w:tc>
          <w:tcPr>
            <w:tcW w:w="2000" w:type="dxa"/>
          </w:tcPr>
          <w:p>
            <w:pPr>
              <w:pStyle w:val="Body"/>
            </w:pPr>
            <w:r>
              <w:t xml:space="preserve">20.00</w:t>
            </w:r>
          </w:p>
        </w:tc>
      </w:tr>
      <w:tr>
        <w:trPr>
          <w:cantSplit/>
        </w:trPr>
        <w:tc>
          <w:tcPr>
            <w:tcW w:w="2000" w:type="dxa"/>
          </w:tcPr>
          <w:p>
            <w:pPr>
              <w:pStyle w:val="Body"/>
            </w:pPr>
            <w:r>
              <w:t xml:space="preserve">2011</w:t>
            </w:r>
          </w:p>
        </w:tc>
        <w:tc>
          <w:tcPr>
            <w:tcW w:w="2000" w:type="dxa"/>
          </w:tcPr>
          <w:p>
            <w:pPr>
              <w:pStyle w:val="Body"/>
            </w:pPr>
            <w:r>
              <w:t xml:space="preserve">296.29</w:t>
            </w:r>
          </w:p>
        </w:tc>
        <w:tc>
          <w:tcPr>
            <w:tcW w:w="2000" w:type="dxa"/>
          </w:tcPr>
          <w:p>
            <w:pPr>
              <w:pStyle w:val="Body"/>
            </w:pPr>
            <w:r>
              <w:t xml:space="preserve">18.05</w:t>
            </w:r>
          </w:p>
        </w:tc>
        <w:tc>
          <w:tcPr>
            <w:tcW w:w="2000" w:type="dxa"/>
          </w:tcPr>
          <w:p>
            <w:pPr>
              <w:pStyle w:val="Body"/>
            </w:pPr>
            <w:r>
              <w:t xml:space="preserve">33.00</w:t>
            </w:r>
          </w:p>
        </w:tc>
        <w:tc>
          <w:tcPr>
            <w:tcW w:w="2000" w:type="dxa"/>
          </w:tcPr>
          <w:p>
            <w:pPr>
              <w:pStyle w:val="Body"/>
            </w:pPr>
            <w:r>
              <w:t xml:space="preserve">19.00</w:t>
            </w:r>
          </w:p>
        </w:tc>
      </w:tr>
      <w:tr>
        <w:trPr>
          <w:cantSplit/>
        </w:trPr>
        <w:tc>
          <w:tcPr>
            <w:tcW w:w="2000" w:type="dxa"/>
          </w:tcPr>
          <w:p>
            <w:pPr>
              <w:pStyle w:val="Body"/>
            </w:pPr>
            <w:r>
              <w:t xml:space="preserve">2012</w:t>
            </w:r>
          </w:p>
        </w:tc>
        <w:tc>
          <w:tcPr>
            <w:tcW w:w="2000" w:type="dxa"/>
          </w:tcPr>
          <w:p>
            <w:pPr>
              <w:pStyle w:val="Body"/>
            </w:pPr>
            <w:r>
              <w:t xml:space="preserve">217.73</w:t>
            </w:r>
          </w:p>
        </w:tc>
        <w:tc>
          <w:tcPr>
            <w:tcW w:w="2000" w:type="dxa"/>
          </w:tcPr>
          <w:p>
            <w:pPr>
              <w:pStyle w:val="Body"/>
            </w:pPr>
            <w:r>
              <w:t xml:space="preserve">20.61</w:t>
            </w:r>
          </w:p>
        </w:tc>
        <w:tc>
          <w:tcPr>
            <w:tcW w:w="2000" w:type="dxa"/>
          </w:tcPr>
          <w:p>
            <w:pPr>
              <w:pStyle w:val="Body"/>
            </w:pPr>
            <w:r>
              <w:t xml:space="preserve">71.00</w:t>
            </w:r>
          </w:p>
        </w:tc>
        <w:tc>
          <w:tcPr>
            <w:tcW w:w="2000" w:type="dxa"/>
          </w:tcPr>
          <w:p>
            <w:pPr>
              <w:pStyle w:val="Body"/>
            </w:pPr>
            <w:r>
              <w:t xml:space="preserve">19.00</w:t>
            </w:r>
          </w:p>
        </w:tc>
      </w:tr>
      <w:tr>
        <w:trPr>
          <w:cantSplit/>
        </w:trPr>
        <w:tc>
          <w:tcPr>
            <w:tcW w:w="2000" w:type="dxa"/>
          </w:tcPr>
          <w:p>
            <w:pPr>
              <w:pStyle w:val="Body"/>
            </w:pPr>
            <w:r>
              <w:t xml:space="preserve">2013</w:t>
            </w:r>
          </w:p>
        </w:tc>
        <w:tc>
          <w:tcPr>
            <w:tcW w:w="2000" w:type="dxa"/>
          </w:tcPr>
          <w:p>
            <w:pPr>
              <w:pStyle w:val="Body"/>
            </w:pPr>
            <w:r>
              <w:t xml:space="preserve">363.59</w:t>
            </w:r>
          </w:p>
        </w:tc>
        <w:tc>
          <w:tcPr>
            <w:tcW w:w="2000" w:type="dxa"/>
          </w:tcPr>
          <w:p>
            <w:pPr>
              <w:pStyle w:val="Body"/>
            </w:pPr>
            <w:r>
              <w:t xml:space="preserve">17.99</w:t>
            </w:r>
          </w:p>
        </w:tc>
        <w:tc>
          <w:tcPr>
            <w:tcW w:w="2000" w:type="dxa"/>
          </w:tcPr>
          <w:p>
            <w:pPr>
              <w:pStyle w:val="Body"/>
            </w:pPr>
            <w:r>
              <w:t xml:space="preserve">24.00</w:t>
            </w:r>
          </w:p>
        </w:tc>
        <w:tc>
          <w:tcPr>
            <w:tcW w:w="2000" w:type="dxa"/>
          </w:tcPr>
          <w:p>
            <w:pPr>
              <w:pStyle w:val="Body"/>
            </w:pPr>
            <w:r>
              <w:t xml:space="preserve">25.00</w:t>
            </w:r>
          </w:p>
        </w:tc>
      </w:tr>
      <w:tr>
        <w:trPr>
          <w:cantSplit/>
        </w:trPr>
        <w:tc>
          <w:tcPr>
            <w:tcW w:w="2000" w:type="dxa"/>
          </w:tcPr>
          <w:p>
            <w:pPr>
              <w:pStyle w:val="Body"/>
            </w:pPr>
            <w:r>
              <w:t xml:space="preserve">2014</w:t>
            </w:r>
          </w:p>
        </w:tc>
        <w:tc>
          <w:tcPr>
            <w:tcW w:w="2000" w:type="dxa"/>
          </w:tcPr>
          <w:p>
            <w:pPr>
              <w:pStyle w:val="Body"/>
            </w:pPr>
            <w:r>
              <w:t xml:space="preserve">304.14</w:t>
            </w:r>
          </w:p>
        </w:tc>
        <w:tc>
          <w:tcPr>
            <w:tcW w:w="2000" w:type="dxa"/>
          </w:tcPr>
          <w:p>
            <w:pPr>
              <w:pStyle w:val="Body"/>
            </w:pPr>
            <w:r>
              <w:t xml:space="preserve">18.64</w:t>
            </w:r>
          </w:p>
        </w:tc>
        <w:tc>
          <w:tcPr>
            <w:tcW w:w="2000" w:type="dxa"/>
          </w:tcPr>
          <w:p>
            <w:pPr>
              <w:pStyle w:val="Body"/>
            </w:pPr>
            <w:r>
              <w:t xml:space="preserve">35.00</w:t>
            </w:r>
          </w:p>
        </w:tc>
        <w:tc>
          <w:tcPr>
            <w:tcW w:w="2000" w:type="dxa"/>
          </w:tcPr>
          <w:p>
            <w:pPr>
              <w:pStyle w:val="Body"/>
            </w:pPr>
            <w:r>
              <w:t xml:space="preserve">24.00</w:t>
            </w:r>
          </w:p>
        </w:tc>
      </w:tr>
      <w:tr>
        <w:trPr>
          <w:cantSplit/>
        </w:trPr>
        <w:tc>
          <w:tcPr>
            <w:tcW w:w="2000" w:type="dxa"/>
          </w:tcPr>
          <w:p>
            <w:pPr>
              <w:pStyle w:val="Body"/>
            </w:pPr>
            <w:r>
              <w:t xml:space="preserve">2015</w:t>
            </w:r>
          </w:p>
        </w:tc>
        <w:tc>
          <w:tcPr>
            <w:tcW w:w="2000" w:type="dxa"/>
          </w:tcPr>
          <w:p>
            <w:pPr>
              <w:pStyle w:val="Body"/>
            </w:pPr>
            <w:r>
              <w:t xml:space="preserve">169.39</w:t>
            </w:r>
          </w:p>
        </w:tc>
        <w:tc>
          <w:tcPr>
            <w:tcW w:w="2000" w:type="dxa"/>
          </w:tcPr>
          <w:p>
            <w:pPr>
              <w:pStyle w:val="Body"/>
            </w:pPr>
            <w:r>
              <w:t xml:space="preserve">19.41</w:t>
            </w:r>
          </w:p>
        </w:tc>
        <w:tc>
          <w:tcPr>
            <w:tcW w:w="2000" w:type="dxa"/>
          </w:tcPr>
          <w:p>
            <w:pPr>
              <w:pStyle w:val="Body"/>
            </w:pPr>
            <w:r>
              <w:t xml:space="preserve">56.00</w:t>
            </w:r>
          </w:p>
        </w:tc>
        <w:tc>
          <w:tcPr>
            <w:tcW w:w="2000" w:type="dxa"/>
          </w:tcPr>
          <w:p>
            <w:pPr>
              <w:pStyle w:val="Body"/>
            </w:pPr>
            <w:r>
              <w:t xml:space="preserve">14.00</w:t>
            </w:r>
          </w:p>
        </w:tc>
      </w:tr>
      <w:tr>
        <w:trPr>
          <w:cantSplit/>
        </w:trPr>
        <w:tc>
          <w:tcPr>
            <w:tcW w:w="2000" w:type="dxa"/>
          </w:tcPr>
          <w:p>
            <w:pPr>
              <w:pStyle w:val="Body"/>
            </w:pPr>
            <w:r>
              <w:t xml:space="preserve">2016</w:t>
            </w:r>
          </w:p>
        </w:tc>
        <w:tc>
          <w:tcPr>
            <w:tcW w:w="2000" w:type="dxa"/>
          </w:tcPr>
          <w:p>
            <w:pPr>
              <w:pStyle w:val="Body"/>
            </w:pPr>
            <w:r>
              <w:t xml:space="preserve">356.77</w:t>
            </w:r>
          </w:p>
        </w:tc>
        <w:tc>
          <w:tcPr>
            <w:tcW w:w="2000" w:type="dxa"/>
          </w:tcPr>
          <w:p>
            <w:pPr>
              <w:pStyle w:val="Body"/>
            </w:pPr>
            <w:r>
              <w:t xml:space="preserve">18.99</w:t>
            </w:r>
          </w:p>
        </w:tc>
        <w:tc>
          <w:tcPr>
            <w:tcW w:w="2000" w:type="dxa"/>
          </w:tcPr>
          <w:p>
            <w:pPr>
              <w:pStyle w:val="Body"/>
            </w:pPr>
            <w:r>
              <w:t xml:space="preserve">49.00</w:t>
            </w:r>
          </w:p>
        </w:tc>
        <w:tc>
          <w:tcPr>
            <w:tcW w:w="2000" w:type="dxa"/>
          </w:tcPr>
          <w:p>
            <w:pPr>
              <w:pStyle w:val="Body"/>
            </w:pPr>
            <w:r>
              <w:t xml:space="preserve">24.00</w:t>
            </w:r>
          </w:p>
        </w:tc>
      </w:tr>
      <w:tr>
        <w:trPr>
          <w:cantSplit/>
        </w:trPr>
        <w:tc>
          <w:tcPr>
            <w:tcW w:w="2000" w:type="dxa"/>
          </w:tcPr>
          <w:p>
            <w:pPr>
              <w:pStyle w:val="Body"/>
            </w:pPr>
            <w:r>
              <w:t xml:space="preserve">2017</w:t>
            </w:r>
          </w:p>
        </w:tc>
        <w:tc>
          <w:tcPr>
            <w:tcW w:w="2000" w:type="dxa"/>
          </w:tcPr>
          <w:p>
            <w:pPr>
              <w:pStyle w:val="Body"/>
            </w:pPr>
            <w:r>
              <w:t xml:space="preserve">329.31</w:t>
            </w:r>
          </w:p>
        </w:tc>
        <w:tc>
          <w:tcPr>
            <w:tcW w:w="2000" w:type="dxa"/>
          </w:tcPr>
          <w:p>
            <w:pPr>
              <w:pStyle w:val="Body"/>
            </w:pPr>
            <w:r>
              <w:t xml:space="preserve">18.44</w:t>
            </w:r>
          </w:p>
        </w:tc>
        <w:tc>
          <w:tcPr>
            <w:tcW w:w="2000" w:type="dxa"/>
          </w:tcPr>
          <w:p>
            <w:pPr>
              <w:pStyle w:val="Body"/>
            </w:pPr>
            <w:r>
              <w:t xml:space="preserve">46.00</w:t>
            </w:r>
          </w:p>
        </w:tc>
        <w:tc>
          <w:tcPr>
            <w:tcW w:w="2000" w:type="dxa"/>
          </w:tcPr>
          <w:p>
            <w:pPr>
              <w:pStyle w:val="Body"/>
            </w:pPr>
            <w:r>
              <w:t xml:space="preserve">16.00</w:t>
            </w:r>
          </w:p>
        </w:tc>
      </w:tr>
      <w:tr>
        <w:trPr>
          <w:cantSplit/>
        </w:trPr>
        <w:tc>
          <w:tcPr>
            <w:tcW w:w="2000" w:type="dxa"/>
          </w:tcPr>
          <w:p>
            <w:pPr>
              <w:pStyle w:val="Body"/>
            </w:pPr>
            <w:r>
              <w:t xml:space="preserve">2018</w:t>
            </w:r>
          </w:p>
        </w:tc>
        <w:tc>
          <w:tcPr>
            <w:tcW w:w="2000" w:type="dxa"/>
          </w:tcPr>
          <w:p>
            <w:pPr>
              <w:pStyle w:val="Body"/>
            </w:pPr>
            <w:r>
              <w:t xml:space="preserve">282.27</w:t>
            </w:r>
          </w:p>
        </w:tc>
        <w:tc>
          <w:tcPr>
            <w:tcW w:w="2000" w:type="dxa"/>
          </w:tcPr>
          <w:p>
            <w:pPr>
              <w:pStyle w:val="Body"/>
            </w:pPr>
            <w:r>
              <w:t xml:space="preserve">19.67</w:t>
            </w:r>
          </w:p>
        </w:tc>
        <w:tc>
          <w:tcPr>
            <w:tcW w:w="2000" w:type="dxa"/>
          </w:tcPr>
          <w:p>
            <w:pPr>
              <w:pStyle w:val="Body"/>
            </w:pPr>
            <w:r>
              <w:t xml:space="preserve">38.00</w:t>
            </w:r>
          </w:p>
        </w:tc>
        <w:tc>
          <w:tcPr>
            <w:tcW w:w="2000" w:type="dxa"/>
          </w:tcPr>
          <w:p>
            <w:pPr>
              <w:pStyle w:val="Body"/>
            </w:pPr>
            <w:r>
              <w:t xml:space="preserve">26.00</w:t>
            </w:r>
          </w:p>
        </w:tc>
      </w:tr>
      <w:tr>
        <w:trPr>
          <w:cantSplit/>
        </w:trPr>
        <w:tc>
          <w:tcPr>
            <w:tcW w:w="2000" w:type="dxa"/>
          </w:tcPr>
          <w:p>
            <w:pPr>
              <w:pStyle w:val="Body"/>
            </w:pPr>
            <w:r>
              <w:t xml:space="preserve">2019</w:t>
            </w:r>
          </w:p>
        </w:tc>
        <w:tc>
          <w:tcPr>
            <w:tcW w:w="2000" w:type="dxa"/>
          </w:tcPr>
          <w:p>
            <w:pPr>
              <w:pStyle w:val="Body"/>
            </w:pPr>
            <w:r>
              <w:t xml:space="preserve">267.32</w:t>
            </w:r>
          </w:p>
        </w:tc>
        <w:tc>
          <w:tcPr>
            <w:tcW w:w="2000" w:type="dxa"/>
          </w:tcPr>
          <w:p>
            <w:pPr>
              <w:pStyle w:val="Body"/>
            </w:pPr>
            <w:r>
              <w:t xml:space="preserve">19.26</w:t>
            </w:r>
          </w:p>
        </w:tc>
        <w:tc>
          <w:tcPr>
            <w:tcW w:w="2000" w:type="dxa"/>
          </w:tcPr>
          <w:p>
            <w:pPr>
              <w:pStyle w:val="Body"/>
            </w:pPr>
            <w:r>
              <w:t xml:space="preserve">50.00</w:t>
            </w:r>
          </w:p>
        </w:tc>
        <w:tc>
          <w:tcPr>
            <w:tcW w:w="2000" w:type="dxa"/>
          </w:tcPr>
          <w:p>
            <w:pPr>
              <w:pStyle w:val="Body"/>
            </w:pPr>
            <w:r>
              <w:t xml:space="preserve">24.00</w:t>
            </w:r>
          </w:p>
        </w:tc>
      </w:tr>
      <w:tr>
        <w:trPr>
          <w:cantSplit/>
        </w:trPr>
        <w:tc>
          <w:tcPr>
            <w:tcW w:w="2000" w:type="dxa"/>
          </w:tcPr>
          <w:p>
            <w:pPr>
              <w:pStyle w:val="Body"/>
            </w:pPr>
            <w:r>
              <w:t xml:space="preserve">2020</w:t>
            </w:r>
          </w:p>
        </w:tc>
        <w:tc>
          <w:tcPr>
            <w:tcW w:w="2000" w:type="dxa"/>
          </w:tcPr>
          <w:p>
            <w:pPr>
              <w:pStyle w:val="Body"/>
            </w:pPr>
            <w:r>
              <w:t xml:space="preserve">269.23</w:t>
            </w:r>
          </w:p>
        </w:tc>
        <w:tc>
          <w:tcPr>
            <w:tcW w:w="2000" w:type="dxa"/>
          </w:tcPr>
          <w:p>
            <w:pPr>
              <w:pStyle w:val="Body"/>
            </w:pPr>
            <w:r>
              <w:t xml:space="preserve">18.81</w:t>
            </w:r>
          </w:p>
        </w:tc>
        <w:tc>
          <w:tcPr>
            <w:tcW w:w="2000" w:type="dxa"/>
          </w:tcPr>
          <w:p>
            <w:pPr>
              <w:pStyle w:val="Body"/>
            </w:pPr>
            <w:r>
              <w:t xml:space="preserve">54.00</w:t>
            </w:r>
          </w:p>
        </w:tc>
        <w:tc>
          <w:tcPr>
            <w:tcW w:w="2000" w:type="dxa"/>
          </w:tcPr>
          <w:p>
            <w:pPr>
              <w:pStyle w:val="Body"/>
            </w:pPr>
            <w:r>
              <w:t xml:space="preserve">31.00</w:t>
            </w:r>
          </w:p>
        </w:tc>
      </w:tr>
      <w:tr>
        <w:trPr>
          <w:cantSplit/>
        </w:trPr>
        <w:tc>
          <w:tcPr>
            <w:tcW w:w="2000" w:type="dxa"/>
          </w:tcPr>
          <w:p>
            <w:pPr>
              <w:pStyle w:val="Body"/>
            </w:pPr>
            <w:r>
              <w:t xml:space="preserve">2021</w:t>
            </w:r>
          </w:p>
        </w:tc>
        <w:tc>
          <w:tcPr>
            <w:tcW w:w="2000" w:type="dxa"/>
          </w:tcPr>
          <w:p>
            <w:pPr>
              <w:pStyle w:val="Body"/>
            </w:pPr>
            <w:r>
              <w:t xml:space="preserve">418.59</w:t>
            </w:r>
          </w:p>
        </w:tc>
        <w:tc>
          <w:tcPr>
            <w:tcW w:w="2000" w:type="dxa"/>
          </w:tcPr>
          <w:p>
            <w:pPr>
              <w:pStyle w:val="Body"/>
            </w:pPr>
            <w:r>
              <w:t xml:space="preserve">17.13</w:t>
            </w:r>
          </w:p>
        </w:tc>
        <w:tc>
          <w:tcPr>
            <w:tcW w:w="2000" w:type="dxa"/>
          </w:tcPr>
          <w:p>
            <w:pPr>
              <w:pStyle w:val="Body"/>
            </w:pPr>
            <w:r>
              <w:t xml:space="preserve">25.00</w:t>
            </w:r>
          </w:p>
        </w:tc>
        <w:tc>
          <w:tcPr>
            <w:tcW w:w="2000" w:type="dxa"/>
          </w:tcPr>
          <w:p>
            <w:pPr>
              <w:pStyle w:val="Body"/>
            </w:pPr>
            <w:r>
              <w:t xml:space="preserve">11.00</w:t>
            </w:r>
          </w:p>
        </w:tc>
      </w:tr>
      <w:tr>
        <w:trPr>
          <w:cantSplit/>
        </w:trPr>
        <w:tc>
          <w:tcPr>
            <w:tcW w:w="2000" w:type="dxa"/>
          </w:tcPr>
          <w:p>
            <w:pPr>
              <w:pStyle w:val="Body"/>
            </w:pPr>
            <w:r>
              <w:t xml:space="preserve">2022</w:t>
            </w:r>
          </w:p>
        </w:tc>
        <w:tc>
          <w:tcPr>
            <w:tcW w:w="2000" w:type="dxa"/>
          </w:tcPr>
          <w:p>
            <w:pPr>
              <w:pStyle w:val="Body"/>
            </w:pPr>
            <w:r>
              <w:t xml:space="preserve">278.70</w:t>
            </w:r>
          </w:p>
        </w:tc>
        <w:tc>
          <w:tcPr>
            <w:tcW w:w="2000" w:type="dxa"/>
          </w:tcPr>
          <w:p>
            <w:pPr>
              <w:pStyle w:val="Body"/>
            </w:pPr>
            <w:r>
              <w:t xml:space="preserve">18.71</w:t>
            </w:r>
          </w:p>
        </w:tc>
        <w:tc>
          <w:tcPr>
            <w:tcW w:w="2000" w:type="dxa"/>
          </w:tcPr>
          <w:p>
            <w:pPr>
              <w:pStyle w:val="Body"/>
            </w:pPr>
            <w:r>
              <w:t xml:space="preserve">45.00</w:t>
            </w:r>
          </w:p>
        </w:tc>
        <w:tc>
          <w:tcPr>
            <w:tcW w:w="2000" w:type="dxa"/>
          </w:tcPr>
          <w:p>
            <w:pPr>
              <w:pStyle w:val="Body"/>
            </w:pPr>
            <w:r>
              <w:t xml:space="preserve">11.00</w:t>
            </w:r>
          </w:p>
        </w:tc>
      </w:tr>
      <w:tr>
        <w:trPr>
          <w:cantSplit/>
        </w:trPr>
        <w:tc>
          <w:tcPr>
            <w:tcW w:w="2000" w:type="dxa"/>
          </w:tcPr>
          <w:p>
            <w:pPr>
              <w:pStyle w:val="Body"/>
            </w:pPr>
            <w:r>
              <w:t xml:space="preserve">2023</w:t>
            </w:r>
          </w:p>
        </w:tc>
        <w:tc>
          <w:tcPr>
            <w:tcW w:w="2000" w:type="dxa"/>
          </w:tcPr>
          <w:p>
            <w:pPr>
              <w:pStyle w:val="Body"/>
            </w:pPr>
            <w:r>
              <w:t xml:space="preserve">255.94</w:t>
            </w:r>
          </w:p>
        </w:tc>
        <w:tc>
          <w:tcPr>
            <w:tcW w:w="2000" w:type="dxa"/>
          </w:tcPr>
          <w:p>
            <w:pPr>
              <w:pStyle w:val="Body"/>
            </w:pPr>
            <w:r>
              <w:t xml:space="preserve">19.30</w:t>
            </w:r>
          </w:p>
        </w:tc>
        <w:tc>
          <w:tcPr>
            <w:tcW w:w="2000" w:type="dxa"/>
          </w:tcPr>
          <w:p>
            <w:pPr>
              <w:pStyle w:val="Body"/>
            </w:pPr>
            <w:r>
              <w:t xml:space="preserve">43.00</w:t>
            </w:r>
          </w:p>
        </w:tc>
        <w:tc>
          <w:tcPr>
            <w:tcW w:w="2000" w:type="dxa"/>
          </w:tcPr>
          <w:p>
            <w:pPr>
              <w:pStyle w:val="Body"/>
            </w:pPr>
            <w:r>
              <w:t xml:space="preserve">14.00</w:t>
            </w:r>
          </w:p>
        </w:tc>
      </w:tr>
      <w:tr>
        <w:trPr>
          <w:cantSplit/>
        </w:trPr>
        <w:tc>
          <w:tcPr>
            <w:tcW w:w="2000" w:type="dxa"/>
          </w:tcPr>
          <w:p>
            <w:pPr>
              <w:pStyle w:val="Body"/>
            </w:pPr>
            <w:r>
              <w:t xml:space="preserve">2024</w:t>
            </w:r>
          </w:p>
        </w:tc>
        <w:tc>
          <w:tcPr>
            <w:tcW w:w="2000" w:type="dxa"/>
          </w:tcPr>
          <w:p>
            <w:pPr>
              <w:pStyle w:val="Body"/>
            </w:pPr>
            <w:r>
              <w:t xml:space="preserve">367.41</w:t>
            </w:r>
          </w:p>
        </w:tc>
        <w:tc>
          <w:tcPr>
            <w:tcW w:w="2000" w:type="dxa"/>
          </w:tcPr>
          <w:p>
            <w:pPr>
              <w:pStyle w:val="Body"/>
            </w:pPr>
            <w:r>
              <w:t xml:space="preserve">20.75</w:t>
            </w:r>
          </w:p>
        </w:tc>
        <w:tc>
          <w:tcPr>
            <w:tcW w:w="2000" w:type="dxa"/>
          </w:tcPr>
          <w:p>
            <w:pPr>
              <w:pStyle w:val="Body"/>
            </w:pPr>
            <w:r>
              <w:t xml:space="preserve">64.00</w:t>
            </w:r>
          </w:p>
        </w:tc>
        <w:tc>
          <w:tcPr>
            <w:tcW w:w="2000" w:type="dxa"/>
          </w:tcPr>
          <w:p>
            <w:pPr>
              <w:pStyle w:val="Body"/>
            </w:pPr>
            <w:r>
              <w:t xml:space="preserve">15.00</w:t>
            </w:r>
          </w:p>
        </w:tc>
      </w:tr>
      <w:tr>
        <w:trPr>
          <w:cantSplit/>
        </w:trPr>
        <w:tc>
          <w:tcPr>
            <w:tcW w:w="2000" w:type="dxa"/>
          </w:tcPr>
          <w:p>
            <w:pPr>
              <w:pStyle w:val="Body"/>
            </w:pPr>
            <w:r>
              <w:t xml:space="preserve">2025</w:t>
            </w:r>
          </w:p>
        </w:tc>
        <w:tc>
          <w:tcPr>
            <w:tcW w:w="2000" w:type="dxa"/>
          </w:tcPr>
          <w:p>
            <w:pPr>
              <w:pStyle w:val="Body"/>
            </w:pPr>
            <w:r>
              <w:t xml:space="preserve">258.94</w:t>
            </w:r>
          </w:p>
        </w:tc>
        <w:tc>
          <w:tcPr>
            <w:tcW w:w="2000" w:type="dxa"/>
          </w:tcPr>
          <w:p>
            <w:pPr>
              <w:pStyle w:val="Body"/>
            </w:pPr>
            <w:r>
              <w:t xml:space="preserve">18.94</w:t>
            </w:r>
          </w:p>
        </w:tc>
        <w:tc>
          <w:tcPr>
            <w:tcW w:w="2000" w:type="dxa"/>
          </w:tcPr>
          <w:p>
            <w:pPr>
              <w:pStyle w:val="Body"/>
            </w:pPr>
            <w:r>
              <w:t xml:space="preserve">51.00</w:t>
            </w:r>
          </w:p>
        </w:tc>
        <w:tc>
          <w:tcPr>
            <w:tcW w:w="2000" w:type="dxa"/>
          </w:tcPr>
          <w:p>
            <w:pPr>
              <w:pStyle w:val="Body"/>
            </w:pPr>
            <w:r>
              <w:t xml:space="preserve">16.00</w:t>
            </w:r>
          </w:p>
        </w:tc>
      </w:tr>
      <w:tr>
        <w:trPr>
          <w:cantSplit/>
        </w:trPr>
        <w:tc>
          <w:tcPr>
            <w:tcW w:w="2000" w:type="dxa"/>
          </w:tcPr>
          <w:p>
            <w:pPr>
              <w:pStyle w:val="Body"/>
            </w:pPr>
            <w:r>
              <w:t xml:space="preserve">2026</w:t>
            </w:r>
          </w:p>
        </w:tc>
        <w:tc>
          <w:tcPr>
            <w:tcW w:w="2000" w:type="dxa"/>
          </w:tcPr>
          <w:p>
            <w:pPr>
              <w:pStyle w:val="Body"/>
            </w:pPr>
            <w:r>
              <w:t xml:space="preserve">254.44</w:t>
            </w:r>
          </w:p>
        </w:tc>
        <w:tc>
          <w:tcPr>
            <w:tcW w:w="2000" w:type="dxa"/>
          </w:tcPr>
          <w:p>
            <w:pPr>
              <w:pStyle w:val="Body"/>
            </w:pPr>
            <w:r>
              <w:t xml:space="preserve">18.56</w:t>
            </w:r>
          </w:p>
        </w:tc>
        <w:tc>
          <w:tcPr>
            <w:tcW w:w="2000" w:type="dxa"/>
          </w:tcPr>
          <w:p>
            <w:pPr>
              <w:pStyle w:val="Body"/>
            </w:pPr>
            <w:r>
              <w:t xml:space="preserve">42.00</w:t>
            </w:r>
          </w:p>
        </w:tc>
        <w:tc>
          <w:tcPr>
            <w:tcW w:w="2000" w:type="dxa"/>
          </w:tcPr>
          <w:p>
            <w:pPr>
              <w:pStyle w:val="Body"/>
            </w:pPr>
            <w:r>
              <w:t xml:space="preserve">17.00</w:t>
            </w:r>
          </w:p>
        </w:tc>
      </w:tr>
    </w:tbl>
    <w:p>
      <w:pPr>
        <w:pStyle w:val="Heading1"/>
      </w:pPr>
      <w:r>
        <w:t xml:space="preserve">Metadate și limite</w:t>
      </w:r>
    </w:p>
    <w:p>
      <w:pPr>
        <w:pStyle w:val="Body"/>
      </w:pPr>
      <w:r>
        <w:t xml:space="preserve">report_id: 78dc20b244cfec1efc53cef05cba7d8a8c041da60c77572f3d94cb4f9dc7f192</w:t>
      </w:r>
    </w:p>
    <w:p>
      <w:pPr>
        <w:pStyle w:val="Body"/>
      </w:pPr>
      <w:r>
        <w:t xml:space="preserve">content_sha256: 78dc20b244cfec1efc53cef05cba7d8a8c041da60c77572f3d94cb4f9dc7f192</w:t>
      </w:r>
    </w:p>
    <w:p>
      <w:pPr>
        <w:pStyle w:val="Body"/>
      </w:pPr>
      <w:r>
        <w:t xml:space="preserve">method_version: climate-window/0.1.1</w:t>
      </w:r>
    </w:p>
    <w:p>
      <w:pPr>
        <w:pStyle w:val="Body"/>
      </w:pPr>
      <w:r>
        <w:t xml:space="preserve">template_version: country-bulletin/1.0.1</w:t>
      </w:r>
    </w:p>
    <w:p>
      <w:pPr>
        <w:pStyle w:val="Body"/>
      </w:pPr>
      <w:r>
        <w:t xml:space="preserve">Sursa: NASA POWER Daily API v2.10.0 · https://power.larc.nasa.gov/</w:t>
      </w:r>
    </w:p>
    <w:p>
      <w:pPr>
        <w:pStyle w:val="Body"/>
      </w:pPr>
      <w:r>
        <w:t xml:space="preserve">Licență: CC BY 4.0 (NASA-managed open-data listing linked by POWER) · https://registry.opendata.aws/nasa-power/</w:t>
      </w:r>
    </w:p>
    <w:p>
      <w:pPr>
        <w:pStyle w:val="Body"/>
      </w:pPr>
      <w:r>
        <w:t xml:space="preserve">Preluat la: 2026-10-06T22:17:21.706362+00:00</w:t>
      </w:r>
    </w:p>
    <w:p>
      <w:pPr>
        <w:pStyle w:val="Body"/>
      </w:pPr>
      <w:r>
        <w:t xml:space="preserve">snapshot_sha256: c83305b18caed8b06c7ecb836671a9359baa63292ae5e6da064e919f756e4a21</w:t>
      </w:r>
    </w:p>
    <w:p>
      <w:pPr>
        <w:pStyle w:val="Body"/>
      </w:pPr>
      <w:r>
        <w:t xml:space="preserve">source_commit: 1dd6f1bef4358f02e1989fbad5998ced0a537c58</w:t>
      </w:r>
    </w:p>
    <w:p>
      <w:pPr>
        <w:pStyle w:val="Body"/>
      </w:pPr>
      <w:r>
        <w:t xml:space="preserve">source_tree: f3c64d1e529a801f0fbb04fc2974ac51de87b0f4</w:t>
      </w:r>
    </w:p>
    <w:p>
      <w:pPr>
        <w:pStyle w:val="Body"/>
      </w:pPr>
      <w:r>
        <w:t xml:space="preserve">Indice de risc climatic: Nu este calculat</w:t>
      </w:r>
    </w:p>
    <w:p>
      <w:pPr>
        <w:pStyle w:val="Body"/>
      </w:pPr>
      <w:r>
        <w:t xml:space="preserve">risk_status: NOT_COMPUTED</w:t>
      </w:r>
    </w:p>
    <w:p>
      <w:pPr>
        <w:pStyle w:val="Body"/>
      </w:pPr>
      <w:r>
        <w:t xml:space="preserve">Zi de referință: 00:00–24:00 UTC; nu ziua civilă din Chișinău</w:t>
      </w:r>
    </w:p>
    <w:p>
      <w:pPr>
        <w:pStyle w:val="Body"/>
      </w:pPr>
      <w:r>
        <w:t xml:space="preserve">Rezoluție nativă: 0.5° × 0.625°</w:t>
      </w:r>
    </w:p>
    <w:p>
      <w:pPr>
        <w:pStyle w:val="Body"/>
      </w:pPr>
      <w:r>
        <w:t xml:space="preserve">Ultima zi completă din snapshot: 2026-09-30</w:t>
      </w:r>
    </w:p>
    <w:p>
      <w:pPr>
        <w:pStyle w:val="Body"/>
      </w:pPr>
      <w:r>
        <w:t xml:space="preserve">Proveniență: Modelat prin reanaliză; nu observații AMM</w:t>
      </w:r>
    </w:p>
    <w:p>
      <w:pPr>
        <w:pStyle w:val="Body"/>
      </w:pPr>
      <w:r>
        <w:t xml:space="preserve">Statut oficial al secetei: Necunoscut</w:t>
      </w:r>
    </w:p>
    <w:p>
      <w:pPr>
        <w:pStyle w:val="Body"/>
      </w:pPr>
      <w:r>
        <w:t xml:space="preserve">Metadate și limite: Două centre de celule, fără medii raionale sau naționale. Orhei și Rezina au același context de celulă centrală și nu sunt estimări climatice independente. Celelalte teritorii nu sunt completate cu valori din vecinătate.</w:t>
      </w:r>
    </w:p>
    <w:p>
      <w:pPr>
        <w:pStyle w:val="Body"/>
      </w:pPr>
      <w:r>
        <w:t xml:space="preserve">Metadate și limite: Nu există mască agricolă: celula acoperă toate tipurile de teren.</w:t>
      </w:r>
    </w:p>
    <w:p>
      <w:pPr>
        <w:pStyle w:val="Body"/>
      </w:pPr>
      <w:r>
        <w:t xml:space="preserve">Metadate și limite: Pragurile &gt;30°C, &gt;35°C și P &lt;1 mm/zi sunt propuneri tehnice v0.1 pentru screening. Seria uscată este limitată la fereastra selectată. Nu reprezintă validare agronomică.</w:t>
      </w:r>
    </w:p>
    <w:p>
      <w:pPr>
        <w:pStyle w:val="Body"/>
      </w:pPr>
      <w:r>
        <w:t xml:space="preserve">Metadate și limite: POWER poate combina MERRA-2 și GEOS-IT lângă prezent. Pentru întregul segment 2026 anomaliile sunt dezactivate conservator până la identificarea omogenă a modelului.</w:t>
      </w:r>
    </w:p>
    <w:p>
      <w:pPr>
        <w:pStyle w:val="Body"/>
      </w:pPr>
      <w:r>
        <w:t xml:space="preserve">Metadate și limite: Acesta nu este un statut oficial de secetă, o probabilitate de daună sau o recomandare de subvenție. Indicele de risc public nu este calculat.</w:t>
      </w:r>
    </w:p>
    <w:p>
      <w:pPr>
        <w:pStyle w:val="Body"/>
      </w:pPr>
      <w:r>
        <w:t xml:space="preserve">Metadate și limite: CDI, SPI și SPEI nu sunt calculate. Pentru CDI lipsesc rasterul admis, legenda versiunii și evaluarea avertismentului JRC pentru Moldova.</w:t>
      </w:r>
    </w:p>
    <w:p>
      <w:pPr>
        <w:pStyle w:val="Body"/>
      </w:pPr>
      <w:r>
        <w:t xml:space="preserve">Metadate și limite: Date: proiectul NASA Langley POWER, finanțat de NASA Earth Science Division; Daily API v2.10.0, accesat la 7 octombrie 2026 ora Chișinău.</w:t>
      </w:r>
    </w:p>
    <w:sectPr>
      <w:pgSz w:w="11906" w:h="16838"/>
      <w:pgMar w:top="1000" w:right="900" w:bottom="1000" w:left="900"/>
    </w:sectPr>
  </w:body>
</w:document>
</file>

<file path=word/styles.xml><?xml version="1.0" encoding="utf-8"?>
<w:styles xmlns:w="http://schemas.openxmlformats.org/wordprocessingml/2006/main">
  <w:docDefaults>
    <w:rPrDefault>
      <w:rPr>
        <w:rFonts w:ascii="IBM Plex Sans" w:hAnsi="IBM Plex Sans"/>
        <w:sz w:val="20"/>
        <w:lang w:val="ro"/>
      </w:rPr>
    </w:rPrDefault>
  </w:docDefaults>
  <w:style w:type="paragraph" w:styleId="Body">
    <w:name w:val="Body"/>
    <w:pPr>
      <w:spacing w:after="100"/>
    </w:pPr>
  </w:style>
  <w:style w:type="paragraph" w:styleId="Title">
    <w:name w:val="Title"/>
    <w:rPr>
      <w:b/>
      <w:color w:val="383838"/>
      <w:sz w:val="40"/>
    </w:rPr>
  </w:style>
  <w:style w:type="paragraph" w:styleId="Subtitle">
    <w:name w:val="Subtitle"/>
    <w:rPr>
      <w:color w:val="60697B"/>
    </w:rPr>
  </w:style>
  <w:style w:type="paragraph" w:styleId="Heading1">
    <w:name w:val="Heading1"/>
    <w:pPr>
      <w:keepNext/>
      <w:outlineLvl w:val="0"/>
      <w:spacing w:before="240" w:after="120"/>
    </w:pPr>
    <w:rPr>
      <w:b/>
      <w:color w:val="383838"/>
      <w:sz w:val="26"/>
    </w:rPr>
  </w:style>
</w:styles>
</file>

<file path=word/_rels/document.xml.rels><?xml version="1.0"?><Relationships xmlns="http://schemas.openxmlformats.org/package/2006/relationships"><Relationship Id="rId1" Type="http://schemas.openxmlformats.org/officeDocument/2006/relationships/styles" Target="styles.xml"/></Relationships>
</file>