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Subtitle"/>
      </w:pPr>
      <w:r>
        <w:t xml:space="preserve">TerraScore™ · Moldova</w:t>
      </w:r>
    </w:p>
    <w:p>
      <w:pPr>
        <w:pStyle w:val="Title"/>
      </w:pPr>
      <w:r>
        <w:t xml:space="preserve">TerraScore · Moldova — Profil statistic agricol — Moldova</w:t>
      </w:r>
    </w:p>
    <w:p>
      <w:pPr>
        <w:pStyle w:val="Heading1"/>
      </w:pPr>
      <w:r>
        <w:t xml:space="preserve">Total național (BNS) · Grâu de toamnă · 2025</w:t>
      </w:r>
    </w:p>
    <w:p>
      <w:pPr>
        <w:pStyle w:val="Heading1"/>
      </w:pPr>
      <w:r>
        <w:t xml:space="preserve">Selecție</w:t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2500"/>
        <w:gridCol w:w="2500"/>
        <w:gridCol w:w="2500"/>
        <w:gridCol w:w="2500"/>
      </w:tblGrid>
      <w:tr>
        <w:trPr>
          <w:cantSplit/>
          <w:tblHeader/>
        </w:trPr>
        <w:tc>
          <w:tcPr>
            <w:tcW w:w="2500" w:type="dxa"/>
            <w:shd w:fill="F5F5F5"/>
          </w:tcPr>
          <w:p>
            <w:pPr>
              <w:pStyle w:val="Body"/>
              <w:keepNext/>
            </w:pPr>
            <w:r>
              <w:t xml:space="preserve">Teritoriu</w:t>
            </w:r>
          </w:p>
        </w:tc>
        <w:tc>
          <w:tcPr>
            <w:tcW w:w="2500" w:type="dxa"/>
            <w:shd w:fill="F5F5F5"/>
          </w:tcPr>
          <w:p>
            <w:pPr>
              <w:pStyle w:val="Body"/>
              <w:keepNext/>
            </w:pPr>
            <w:r>
              <w:t xml:space="preserve">Suprafață însămânțată, ha</w:t>
            </w:r>
          </w:p>
        </w:tc>
        <w:tc>
          <w:tcPr>
            <w:tcW w:w="2500" w:type="dxa"/>
            <w:shd w:fill="F5F5F5"/>
          </w:tcPr>
          <w:p>
            <w:pPr>
              <w:pStyle w:val="Body"/>
              <w:keepNext/>
            </w:pPr>
            <w:r>
              <w:t xml:space="preserve">Roadă medie, q/ha</w:t>
            </w:r>
          </w:p>
        </w:tc>
        <w:tc>
          <w:tcPr>
            <w:tcW w:w="2500" w:type="dxa"/>
            <w:shd w:fill="F5F5F5"/>
          </w:tcPr>
          <w:p>
            <w:pPr>
              <w:pStyle w:val="Body"/>
              <w:keepNext/>
            </w:pPr>
            <w:r>
              <w:t xml:space="preserve">Producție, q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Total național (BNS)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370510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41.4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15342021</w:t>
            </w:r>
          </w:p>
        </w:tc>
      </w:tr>
    </w:tbl>
    <w:p>
      <w:pPr>
        <w:pStyle w:val="Heading1"/>
      </w:pPr>
      <w:r>
        <w:t xml:space="preserve">Față de cei cinci ani precedenți</w:t>
      </w:r>
    </w:p>
    <w:p>
      <w:pPr>
        <w:pStyle w:val="Body"/>
      </w:pPr>
      <w:r>
        <w:t xml:space="preserve">Suprafață însămânțată, ha: +16.0%; 2020–2024; n=5/5; Calcul descriptiv disponibil</w:t>
      </w:r>
    </w:p>
    <w:p>
      <w:pPr>
        <w:pStyle w:val="Body"/>
      </w:pPr>
      <w:r>
        <w:t xml:space="preserve">Roadă medie, q/ha: +26.8%; 2020–2024; n=5/5; Calcul descriptiv disponibil</w:t>
      </w:r>
    </w:p>
    <w:p>
      <w:pPr>
        <w:pStyle w:val="Body"/>
      </w:pPr>
      <w:r>
        <w:t xml:space="preserve">Producție, q: +45.0%; 2020–2024; n=5/5; Calcul descriptiv disponibil</w:t>
      </w:r>
    </w:p>
    <w:p>
      <w:pPr>
        <w:pStyle w:val="Body"/>
      </w:pPr>
      <w:r>
        <w:t xml:space="preserve">Aceeași definiție a populației raportate, nu un panel al acelorași gospodării. Abaterea nu este IRC, pierdere climatică sau dovadă a cauzei schimbării. Schimbările structurale și de componență pot influența rezultatul.</w:t>
      </w:r>
    </w:p>
    <w:p>
      <w:pPr>
        <w:pStyle w:val="Heading1"/>
      </w:pPr>
      <w:r>
        <w:t xml:space="preserve">Comparație teritorială</w:t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2500"/>
        <w:gridCol w:w="2500"/>
        <w:gridCol w:w="2500"/>
        <w:gridCol w:w="2500"/>
      </w:tblGrid>
      <w:tr>
        <w:trPr>
          <w:cantSplit/>
          <w:tblHeader/>
        </w:trPr>
        <w:tc>
          <w:tcPr>
            <w:tcW w:w="2500" w:type="dxa"/>
            <w:shd w:fill="F5F5F5"/>
          </w:tcPr>
          <w:p>
            <w:pPr>
              <w:pStyle w:val="Body"/>
              <w:keepNext/>
            </w:pPr>
            <w:r>
              <w:t xml:space="preserve">Teritoriu</w:t>
            </w:r>
          </w:p>
        </w:tc>
        <w:tc>
          <w:tcPr>
            <w:tcW w:w="2500" w:type="dxa"/>
            <w:shd w:fill="F5F5F5"/>
          </w:tcPr>
          <w:p>
            <w:pPr>
              <w:pStyle w:val="Body"/>
              <w:keepNext/>
            </w:pPr>
            <w:r>
              <w:t xml:space="preserve">Suprafață însămânțată, ha</w:t>
            </w:r>
          </w:p>
        </w:tc>
        <w:tc>
          <w:tcPr>
            <w:tcW w:w="2500" w:type="dxa"/>
            <w:shd w:fill="F5F5F5"/>
          </w:tcPr>
          <w:p>
            <w:pPr>
              <w:pStyle w:val="Body"/>
              <w:keepNext/>
            </w:pPr>
            <w:r>
              <w:t xml:space="preserve">Roadă medie, q/ha</w:t>
            </w:r>
          </w:p>
        </w:tc>
        <w:tc>
          <w:tcPr>
            <w:tcW w:w="2500" w:type="dxa"/>
            <w:shd w:fill="F5F5F5"/>
          </w:tcPr>
          <w:p>
            <w:pPr>
              <w:pStyle w:val="Body"/>
              <w:keepNext/>
            </w:pPr>
            <w:r>
              <w:t xml:space="preserve">Producție, q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Municipiul Chisinau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2458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43.6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106143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Municipiul  Balti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362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49.4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17885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Briceni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4789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48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229899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Donduseni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10384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60.1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623646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Drochia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22226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52.2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1158664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Edinet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8663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47.2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408780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Falesti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13505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53.1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717242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Floresti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19284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46.3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893723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Glodeni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7821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49.8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389319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Ocnita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5574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55.1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306909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Riscani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11552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48.7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561408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Singerei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12305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43.5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535558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Soroca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13713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50.3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690310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Anenii Noi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8407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40.9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340664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Calarasi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577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45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25979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Criuleni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6613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48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317697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Dubasari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3401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46.7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158995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Hincesti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9208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40.1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368911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Ialoveni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3142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37.1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116649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Nisporeni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1639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34.5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56492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Orhei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11283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40.9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461876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Rezina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8189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40.3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330011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Straseni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862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47.2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40706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Soldanesti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7360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40.8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297475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Telenesti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7776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34.4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267373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Ungheni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9215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48.6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447668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Basarabeasca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5167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31.1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160249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Cahul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23713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34.1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807834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Cantemir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13886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38.2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529927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Causeni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16577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33.6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557468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Cimislia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17088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38.5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657367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Leova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9332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44.1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411605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Stefan Voda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19178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26.3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503966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Taraclia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15593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36.5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569075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U.T.A Gagauzia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39668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32.2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1274548</w:t>
            </w:r>
          </w:p>
        </w:tc>
      </w:tr>
    </w:tbl>
    <w:p>
      <w:pPr>
        <w:pStyle w:val="Heading1"/>
      </w:pPr>
      <w:r>
        <w:t xml:space="preserve">Istoricul roadei pentru selecția curentă</w:t>
      </w:r>
    </w:p>
    <w:tbl>
      <w:tblPr>
        <w:tblW w:w="10000" w:type="dxa"/>
        <w:tblBorders>
          <w:bottom w:val="single" w:sz="4" w:color="D9DFE8"/>
          <w:insideH w:val="single" w:sz="4" w:color="D9DFE8"/>
        </w:tblBorders>
      </w:tblPr>
      <w:tblGrid>
        <w:gridCol w:w="2500"/>
        <w:gridCol w:w="2500"/>
        <w:gridCol w:w="2500"/>
        <w:gridCol w:w="2500"/>
      </w:tblGrid>
      <w:tr>
        <w:trPr>
          <w:cantSplit/>
          <w:tblHeader/>
        </w:trPr>
        <w:tc>
          <w:tcPr>
            <w:tcW w:w="2500" w:type="dxa"/>
            <w:shd w:fill="F5F5F5"/>
          </w:tcPr>
          <w:p>
            <w:pPr>
              <w:pStyle w:val="Body"/>
              <w:keepNext/>
            </w:pPr>
            <w:r>
              <w:t xml:space="preserve">An</w:t>
            </w:r>
          </w:p>
        </w:tc>
        <w:tc>
          <w:tcPr>
            <w:tcW w:w="2500" w:type="dxa"/>
            <w:shd w:fill="F5F5F5"/>
          </w:tcPr>
          <w:p>
            <w:pPr>
              <w:pStyle w:val="Body"/>
              <w:keepNext/>
            </w:pPr>
            <w:r>
              <w:t xml:space="preserve">Suprafață însămânțată, ha</w:t>
            </w:r>
          </w:p>
        </w:tc>
        <w:tc>
          <w:tcPr>
            <w:tcW w:w="2500" w:type="dxa"/>
            <w:shd w:fill="F5F5F5"/>
          </w:tcPr>
          <w:p>
            <w:pPr>
              <w:pStyle w:val="Body"/>
              <w:keepNext/>
            </w:pPr>
            <w:r>
              <w:t xml:space="preserve">Roadă medie, q/ha</w:t>
            </w:r>
          </w:p>
        </w:tc>
        <w:tc>
          <w:tcPr>
            <w:tcW w:w="2500" w:type="dxa"/>
            <w:shd w:fill="F5F5F5"/>
          </w:tcPr>
          <w:p>
            <w:pPr>
              <w:pStyle w:val="Body"/>
              <w:keepNext/>
            </w:pPr>
            <w:r>
              <w:t xml:space="preserve">Producție, q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2007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236572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13.9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3298242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2008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303392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32.1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9725972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2009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256739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20.6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5255083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2010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252476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22.7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5676927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2011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235674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26.4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6216890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2012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250394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16.4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4074777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2013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293236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28.1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8240468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2014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275709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33.1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9091843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2015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284111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27.7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7858828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2016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305152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35.7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10879796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2017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271990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38.2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10378226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2018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310466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31.5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9764237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2019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313970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32.9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10329804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2020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273426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17.6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4670545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2021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309148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46.4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14333999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2022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303788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25.9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7854362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2023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354946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41.5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14708279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2024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355747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31.9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11337934</w:t>
            </w:r>
          </w:p>
        </w:tc>
      </w:tr>
      <w:tr>
        <w:trPr>
          <w:cantSplit/>
        </w:trPr>
        <w:tc>
          <w:tcPr>
            <w:tcW w:w="2500" w:type="dxa"/>
          </w:tcPr>
          <w:p>
            <w:pPr>
              <w:pStyle w:val="Body"/>
            </w:pPr>
            <w:r>
              <w:t xml:space="preserve">2025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370510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41.4</w:t>
            </w:r>
          </w:p>
        </w:tc>
        <w:tc>
          <w:tcPr>
            <w:tcW w:w="2500" w:type="dxa"/>
          </w:tcPr>
          <w:p>
            <w:pPr>
              <w:pStyle w:val="Body"/>
            </w:pPr>
            <w:r>
              <w:t xml:space="preserve">15342021</w:t>
            </w:r>
          </w:p>
        </w:tc>
      </w:tr>
    </w:tbl>
    <w:p>
      <w:pPr>
        <w:pStyle w:val="Heading1"/>
      </w:pPr>
      <w:r>
        <w:t xml:space="preserve">Metadate și limite</w:t>
      </w:r>
    </w:p>
    <w:p>
      <w:pPr>
        <w:pStyle w:val="Body"/>
      </w:pPr>
      <w:r>
        <w:t xml:space="preserve">Identificator raport: 2383e2800846b64fe0bb437f15c7ec5619b255f4e1cf9b7f8e079a7c1504bb88</w:t>
      </w:r>
    </w:p>
    <w:p>
      <w:pPr>
        <w:pStyle w:val="Body"/>
      </w:pPr>
      <w:r>
        <w:t xml:space="preserve">Versiunea datelor: bns-AGR020600reg-2026-10-06</w:t>
      </w:r>
    </w:p>
    <w:p>
      <w:pPr>
        <w:pStyle w:val="Body"/>
      </w:pPr>
      <w:r>
        <w:t xml:space="preserve">Sursa: https://statbank.statistica.md/PxWeb/pxweb/ro/40%20Statistica%20economica/40%20Statistica%20economica__16%20AGR__AGR020/AGR020600reg.px/</w:t>
      </w:r>
    </w:p>
    <w:p>
      <w:pPr>
        <w:pStyle w:val="Body"/>
      </w:pPr>
      <w:r>
        <w:t xml:space="preserve">Preluat la: 2026-10-06</w:t>
      </w:r>
    </w:p>
    <w:p>
      <w:pPr>
        <w:pStyle w:val="Body"/>
      </w:pPr>
      <w:r>
        <w:t xml:space="preserve">SHA-256 al setului: d1f871a2205745e08fac8018bf3bebd517639da7a58f10361a0135c01c6b88bf</w:t>
      </w:r>
    </w:p>
    <w:p>
      <w:pPr>
        <w:pStyle w:val="Body"/>
      </w:pPr>
      <w:r>
        <w:t xml:space="preserve">Indice de risc climatic: Nu este calculat</w:t>
      </w:r>
    </w:p>
    <w:p>
      <w:pPr>
        <w:pStyle w:val="Body"/>
      </w:pPr>
      <w:r>
        <w:t xml:space="preserve">risk_status: NOT_COMPUTED</w:t>
      </w:r>
    </w:p>
    <w:p>
      <w:pPr>
        <w:pStyle w:val="Body"/>
      </w:pPr>
      <w:r>
        <w:t xml:space="preserve">Domeniu statistic: Întreprinderi agricole și gospodării țărănești cu suprafața terenurilor agricole de 10 ha și peste.</w:t>
      </w:r>
    </w:p>
    <w:p>
      <w:pPr>
        <w:pStyle w:val="Body"/>
      </w:pPr>
      <w:r>
        <w:t xml:space="preserve">Sursa: Biroul Național de Statistică al Republicii Moldova</w:t>
      </w:r>
    </w:p>
    <w:p>
      <w:pPr>
        <w:pStyle w:val="Body"/>
      </w:pPr>
      <w:r>
        <w:t xml:space="preserve">Licență: CC-BY-4.0 · https://creativecommons.org/licenses/by/4.0/</w:t>
      </w:r>
    </w:p>
    <w:p>
      <w:pPr>
        <w:pStyle w:val="Body"/>
      </w:pPr>
      <w:r>
        <w:t xml:space="preserve">Condițiile BNS de reutilizare: https://statistica.gov.md/en/copyright-139.html</w:t>
      </w:r>
    </w:p>
    <w:p>
      <w:pPr>
        <w:pStyle w:val="Body"/>
      </w:pPr>
      <w:r>
        <w:t xml:space="preserve">Metadate și limite: Prelucrare TerraScore: selectarea teritoriilor și anilor, reorganizarea formatului, traducerea etichetelor și realizarea graficelor. Valorile și semnele publicate de BNS sunt păstrate.</w:t>
      </w:r>
    </w:p>
    <w:p>
      <w:pPr>
        <w:pStyle w:val="Body"/>
      </w:pPr>
      <w:r>
        <w:t xml:space="preserve">Metadate și limite: Acoperirea acestei serii nu include raioanele din stânga Nistrului și municipiul Bender. Nu reprezintă toate gospodăriile sau fiecare parcelă din țară.</w:t>
      </w:r>
    </w:p>
    <w:p>
      <w:pPr>
        <w:pStyle w:val="Body"/>
      </w:pPr>
      <w:r>
        <w:t xml:space="preserve">Metadate și limite: Cele 36 de categorii includ totaluri și subcategorii. Nu se însumează între ele. Totalul național este rândul publicat de BNS, nu o medie calculată a raioanelor.</w:t>
      </w:r>
    </w:p>
    <w:p>
      <w:pPr>
        <w:pStyle w:val="Body"/>
      </w:pPr>
      <w:r>
        <w:t xml:space="preserve">Metadate și limite: 1 q = 100 kg. Roada publicată nu se recalculează ca producție împărțită la suprafața însămânțată; suprafața recoltată poate fi diferită.</w:t>
      </w:r>
    </w:p>
    <w:p>
      <w:pPr>
        <w:pStyle w:val="Body"/>
      </w:pPr>
      <w:r>
        <w:t xml:space="preserve">Metadate și limite: „—” păstrează semnul „-” al BNS: fenomenul nu a existat. Nu este înlocuit automat cu zero, în special pentru roadă. Lipsa unui indicator de risc este o stare separată.</w:t>
      </w:r>
    </w:p>
    <w:p>
      <w:pPr>
        <w:pStyle w:val="Body"/>
      </w:pPr>
      <w:r>
        <w:t xml:space="preserve">Metadate și limite: Indicele IRC necesită o metodologie convenită, componente de hazard și vulnerabilitate și validare științifică. Datele agricole singure nu stabilesc riscul sau paguba climatică.</w:t>
      </w:r>
    </w:p>
    <w:p>
      <w:pPr>
        <w:pStyle w:val="Body"/>
      </w:pPr>
      <w:r>
        <w:t xml:space="preserve">Stare: Produs independent TerraScore. Nu reprezintă un sistem oficial sau o evaluare aprobată de MAIA.</w:t>
      </w:r>
    </w:p>
    <w:p>
      <w:pPr>
        <w:pStyle w:val="Body"/>
      </w:pPr>
      <w:r>
        <w:t xml:space="preserve">Versiunea codului: 1dd6f1bef4358f02e1989fbad5998ced0a537c58</w:t>
      </w:r>
    </w:p>
    <w:p>
      <w:pPr>
        <w:pStyle w:val="Body"/>
      </w:pPr>
      <w:r>
        <w:t xml:space="preserve">source_tree: f3c64d1e529a801f0fbb04fc2974ac51de87b0f4</w:t>
      </w:r>
    </w:p>
    <w:p>
      <w:pPr>
        <w:pStyle w:val="Body"/>
      </w:pPr>
      <w:r>
        <w:t xml:space="preserve">brand: TerraScore · Moldova</w:t>
      </w:r>
    </w:p>
    <w:p>
      <w:pPr>
        <w:pStyle w:val="Body"/>
      </w:pPr>
      <w:r>
        <w:t xml:space="preserve">comparison_policy: bns-previous-five-calendar-years/1.0.0</w:t>
      </w:r>
    </w:p>
    <w:p>
      <w:pPr>
        <w:pStyle w:val="Body"/>
      </w:pPr>
      <w:r>
        <w:t xml:space="preserve">Față de cei cinci ani precedenți: Abaterea valorii selectate față de media observațiilor publicate din cei cinci ani calendaristici precedenți.</w:t>
      </w:r>
    </w:p>
    <w:p>
      <w:pPr>
        <w:pStyle w:val="Body"/>
      </w:pPr>
      <w:r>
        <w:t xml:space="preserve">Suprafață însămânțată, ha: +16.0%; Media de referință: 319411.00 ha; 2020–2024; n=5/5; Calcul descriptiv disponibil</w:t>
      </w:r>
    </w:p>
    <w:p>
      <w:pPr>
        <w:pStyle w:val="Body"/>
      </w:pPr>
      <w:r>
        <w:t xml:space="preserve">Roadă medie, q/ha: +26.8%; Media de referință: 32.66 q/ha; 2020–2024; n=5/5; Calcul descriptiv disponibil</w:t>
      </w:r>
    </w:p>
    <w:p>
      <w:pPr>
        <w:pStyle w:val="Body"/>
      </w:pPr>
      <w:r>
        <w:t xml:space="preserve">Producție, q: +45.0%; Media de referință: 10581023.80 q; 2020–2024; n=5/5; Calcul descriptiv disponibil</w:t>
      </w:r>
    </w:p>
    <w:p>
      <w:pPr>
        <w:pStyle w:val="Body"/>
      </w:pPr>
      <w:r>
        <w:t xml:space="preserve">Metadate și limite: Aceeași definiție a populației raportate, nu un panel al acelorași gospodării. Abaterea nu este IRC, pierdere climatică sau dovadă a cauzei schimbării. Schimbările structurale și de componență pot influența rezultatul.</w:t>
      </w:r>
    </w:p>
    <w:p>
      <w:pPr>
        <w:pStyle w:val="Body"/>
      </w:pPr>
      <w:r>
        <w:t xml:space="preserve">content_sha256: 2383e2800846b64fe0bb437f15c7ec5619b255f4e1cf9b7f8e079a7c1504bb88</w:t>
      </w:r>
    </w:p>
    <w:p>
      <w:pPr>
        <w:pStyle w:val="Body"/>
      </w:pPr>
      <w:r>
        <w:t xml:space="preserve">template_version: terrascore.country.report/1.0.1</w:t>
      </w:r>
    </w:p>
    <w:p>
      <w:pPr>
        <w:pStyle w:val="Body"/>
      </w:pPr>
      <w:r>
        <w:t xml:space="preserve">Sursa și licența hărții: geoBoundaries gbOpen / UNHCR, OCHA FISS · 2020 · CC-BY-3.0-IGO</w:t>
      </w:r>
    </w:p>
    <w:p>
      <w:pPr>
        <w:pStyle w:val="Body"/>
      </w:pPr>
      <w:r>
        <w:t xml:space="preserve">Contururi de referință pentru anul 2020. Echivalența limitelor istorice din 2007–2025 nu a fost verificată. Datele BNS nu sunt redistribuite între teritorii.: https://www.geoboundaries.org/api/current/gbOpen/MDA/ADM1/</w:t>
      </w:r>
    </w:p>
    <w:sectPr>
      <w:pgSz w:w="11906" w:h="16838"/>
      <w:pgMar w:top="1000" w:right="900" w:bottom="1000" w:left="9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IBM Plex Sans" w:hAnsi="IBM Plex Sans"/>
        <w:sz w:val="20"/>
        <w:lang w:val="ro"/>
      </w:rPr>
    </w:rPrDefault>
  </w:docDefaults>
  <w:style w:type="paragraph" w:styleId="Body">
    <w:name w:val="Body"/>
    <w:pPr>
      <w:spacing w:after="100"/>
    </w:pPr>
  </w:style>
  <w:style w:type="paragraph" w:styleId="Title">
    <w:name w:val="Title"/>
    <w:rPr>
      <w:b/>
      <w:color w:val="383838"/>
      <w:sz w:val="40"/>
    </w:rPr>
  </w:style>
  <w:style w:type="paragraph" w:styleId="Subtitle">
    <w:name w:val="Subtitle"/>
    <w:rPr>
      <w:color w:val="60697B"/>
    </w:rPr>
  </w:style>
  <w:style w:type="paragraph" w:styleId="Heading1">
    <w:name w:val="Heading1"/>
    <w:pPr>
      <w:keepNext/>
      <w:outlineLvl w:val="0"/>
      <w:spacing w:before="240" w:after="120"/>
    </w:pPr>
    <w:rPr>
      <w:b/>
      <w:color w:val="383838"/>
      <w:sz w:val="26"/>
    </w:rPr>
  </w:style>
</w:styles>
</file>

<file path=word/_rels/document.xml.rels><?xml version="1.0"?><Relationships xmlns="http://schemas.openxmlformats.org/package/2006/relationships"><Relationship Id="rId1" Type="http://schemas.openxmlformats.org/officeDocument/2006/relationships/styles" Target="styles.xml"/></Relationships>
</file>