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spacing w:after="160"/>
      </w:pPr>
      <w:r>
        <w:drawing>
          <wp:inline distT="0" distB="0" distL="0" distR="0">
            <wp:extent cx="3060000" cy="612598"/>
            <wp:docPr id="1" name="TerraSCORE" descr="TerraSCORE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errascore-logo.png"/>
                    <pic:cNvPicPr>
                      <a:picLocks noChangeAspect="1"/>
                    </pic:cNvPicPr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61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ubtitle"/>
      </w:pPr>
      <w:r>
        <w:t xml:space="preserve">Moldova</w:t>
      </w:r>
    </w:p>
    <w:p>
      <w:pPr>
        <w:pStyle w:val="Title"/>
      </w:pPr>
      <w:r>
        <w:t xml:space="preserve">Statistici oficiale privind apa și efectivul de animale</w:t>
      </w:r>
    </w:p>
    <w:p>
      <w:pPr>
        <w:pStyle w:val="Heading1"/>
      </w:pPr>
      <w:r>
        <w:t xml:space="preserve">Republica Moldova · Captarea apei raportată · 2008–2025</w:t>
      </w:r>
    </w:p>
    <w:p>
      <w:pPr>
        <w:pStyle w:val="Body"/>
      </w:pPr>
      <w:r>
        <w:t xml:space="preserve">Captarea și utilizarea raportate nu reprezintă resursele de apă disponibile sau volume autorizate pentru irigare. Efectivele de animale sunt stocuri la 1 ianuarie, nu producție anuală. Datele raionale nu descriu o parcelă. Nu se calculează densitatea animalelor, stresul hidric sau balanța îngrășămintelor.</w:t>
      </w:r>
    </w:p>
    <w:p>
      <w:pPr>
        <w:pStyle w:val="Heading1"/>
      </w:pPr>
      <w:r>
        <w:t xml:space="preserve">Observații selectate</w:t>
      </w:r>
    </w:p>
    <w:p>
      <w:pPr>
        <w:keepNext/>
        <w:pStyle w:val="Body"/>
      </w:pPr>
      <w:r>
        <w:t xml:space="preserve">Utilizatori de apă raportori · agregat național · Apă: fluxuri anuale raportate, 2008–2025. Animale: efectiv la 1 ianuarie, 2007–2026. Anii reprezintă observațiile, nu edițiile publicațiilor.</w:t>
      </w:r>
    </w:p>
    <w:tbl>
      <w:tblPr>
        <w:tblW w:w="10000" w:type="dxa"/>
        <w:tblBorders>
          <w:bottom w:val="single" w:sz="4" w:color="D9DFE8"/>
          <w:insideH w:val="single" w:sz="4" w:color="D9DFE8"/>
        </w:tblBorders>
      </w:tblPr>
      <w:tblGrid>
        <w:gridCol w:w="1666"/>
        <w:gridCol w:w="1666"/>
        <w:gridCol w:w="1666"/>
        <w:gridCol w:w="1666"/>
        <w:gridCol w:w="1666"/>
        <w:gridCol w:w="1666"/>
      </w:tblGrid>
      <w:tr>
        <w:trPr>
          <w:cantSplit/>
          <w:tblHeader/>
        </w:trPr>
        <w:tc>
          <w:tcPr>
            <w:tcW w:w="1666" w:type="dxa"/>
            <w:shd w:fill="F5F5F5"/>
          </w:tcPr>
          <w:p>
            <w:pPr>
              <w:pStyle w:val="Body"/>
              <w:keepNext/>
            </w:pPr>
            <w:r>
              <w:t xml:space="preserve">Teritoriu</w:t>
            </w:r>
          </w:p>
        </w:tc>
        <w:tc>
          <w:tcPr>
            <w:tcW w:w="1666" w:type="dxa"/>
            <w:shd w:fill="F5F5F5"/>
          </w:tcPr>
          <w:p>
            <w:pPr>
              <w:pStyle w:val="Body"/>
              <w:keepNext/>
            </w:pPr>
            <w:r>
              <w:t xml:space="preserve">Perioada/data observației</w:t>
            </w:r>
          </w:p>
        </w:tc>
        <w:tc>
          <w:tcPr>
            <w:tcW w:w="1666" w:type="dxa"/>
            <w:shd w:fill="F5F5F5"/>
          </w:tcPr>
          <w:p>
            <w:pPr>
              <w:pStyle w:val="Body"/>
              <w:keepNext/>
            </w:pPr>
            <w:r>
              <w:t xml:space="preserve">Valoare publicată</w:t>
            </w:r>
          </w:p>
        </w:tc>
        <w:tc>
          <w:tcPr>
            <w:tcW w:w="1666" w:type="dxa"/>
            <w:shd w:fill="F5F5F5"/>
          </w:tcPr>
          <w:p>
            <w:pPr>
              <w:pStyle w:val="Body"/>
              <w:keepNext/>
            </w:pPr>
            <w:r>
              <w:t xml:space="preserve">Unitate</w:t>
            </w:r>
          </w:p>
        </w:tc>
        <w:tc>
          <w:tcPr>
            <w:tcW w:w="1666" w:type="dxa"/>
            <w:shd w:fill="F5F5F5"/>
          </w:tcPr>
          <w:p>
            <w:pPr>
              <w:pStyle w:val="Body"/>
              <w:keepNext/>
            </w:pPr>
            <w:r>
              <w:t xml:space="preserve">Statutul sursei</w:t>
            </w:r>
          </w:p>
        </w:tc>
        <w:tc>
          <w:tcPr>
            <w:tcW w:w="1666" w:type="dxa"/>
            <w:shd w:fill="F5F5F5"/>
          </w:tcPr>
          <w:p>
            <w:pPr>
              <w:pStyle w:val="Body"/>
              <w:keepNext/>
            </w:pPr>
            <w:r>
              <w:t xml:space="preserve">Valoarea originală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[0]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2008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170,8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Observație numerică publicată [PUBLISHED_VALUE]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170.8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[0]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2009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174,4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Observație numerică publicată [PUBLISHED_VALUE]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174.4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[0]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2010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160,1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Observație numerică publicată [PUBLISHED_VALUE]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160.1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[0]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2011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156,8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Observație numerică publicată [PUBLISHED_VALUE]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156.8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[0]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2012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159,4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Observație numerică publicată [PUBLISHED_VALUE]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159.4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[0]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2013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148,9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Observație numerică publicată [PUBLISHED_VALUE]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148.9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[0]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2014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146,4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Observație numerică publicată [PUBLISHED_VALUE]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146.4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[0]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2015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149,7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Observație numerică publicată [PUBLISHED_VALUE]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149.7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[0]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2016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152,5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Observație numerică publicată [PUBLISHED_VALUE]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152.5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[0]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2017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149,0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Observație numerică publicată [PUBLISHED_VALUE]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149.0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[0]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2018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151,3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Observație numerică publicată [PUBLISHED_VALUE]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151.3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[0]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2019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153,7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Observație numerică publicată [PUBLISHED_VALUE]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153.7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[0]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2020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160,1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Observație numerică publicată [PUBLISHED_VALUE]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160.1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[0]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2021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150,7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Observație numerică publicată [PUBLISHED_VALUE]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150.7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[0]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2022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160,0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Observație numerică publicată [PUBLISHED_VALUE]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160.0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[0]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2023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158,5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Observație numerică publicată [PUBLISHED_VALUE]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158.5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[0]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2024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165,0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Observație numerică publicată [PUBLISHED_VALUE]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165.0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[0]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165,3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Observație numerică publicată [PUBLISHED_VALUE]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165.3</w:t>
            </w:r>
          </w:p>
        </w:tc>
      </w:tr>
    </w:tbl>
    <w:p>
      <w:pPr>
        <w:pStyle w:val="Heading1"/>
      </w:pPr>
      <w:r>
        <w:t xml:space="preserve">Istoricul edițiilor și revizuirilor</w:t>
      </w:r>
    </w:p>
    <w:p>
      <w:pPr>
        <w:keepNext/>
        <w:pStyle w:val="Body"/>
      </w:pPr>
      <w:r>
        <w:t xml:space="preserve">Fiecare ediție tipărită se păstrează. Seriile curente preferă valorile Statbank fixate în acest pachet. Diferențele sunt documentate; cauza nu se afirmă fără o notificare BNS de corectare. Valorile concordante nu se încarcă de două ori.</w:t>
      </w:r>
    </w:p>
    <w:tbl>
      <w:tblPr>
        <w:tblW w:w="10000" w:type="dxa"/>
        <w:tblBorders>
          <w:bottom w:val="single" w:sz="4" w:color="D9DFE8"/>
          <w:insideH w:val="single" w:sz="4" w:color="D9DFE8"/>
        </w:tblBorders>
      </w:tblPr>
      <w:tblGrid>
        <w:gridCol w:w="1666"/>
        <w:gridCol w:w="1666"/>
        <w:gridCol w:w="1666"/>
        <w:gridCol w:w="1666"/>
        <w:gridCol w:w="1666"/>
        <w:gridCol w:w="1666"/>
      </w:tblGrid>
      <w:tr>
        <w:trPr>
          <w:cantSplit/>
          <w:tblHeader/>
        </w:trPr>
        <w:tc>
          <w:tcPr>
            <w:tcW w:w="1666" w:type="dxa"/>
            <w:shd w:fill="F5F5F5"/>
          </w:tcPr>
          <w:p>
            <w:pPr>
              <w:pStyle w:val="Body"/>
              <w:keepNext/>
            </w:pPr>
            <w:r>
              <w:t xml:space="preserve">Teritoriu / Indicator / Unitate</w:t>
            </w:r>
          </w:p>
        </w:tc>
        <w:tc>
          <w:tcPr>
            <w:tcW w:w="1666" w:type="dxa"/>
            <w:shd w:fill="F5F5F5"/>
          </w:tcPr>
          <w:p>
            <w:pPr>
              <w:pStyle w:val="Body"/>
              <w:keepNext/>
            </w:pPr>
            <w:r>
              <w:t xml:space="preserve">Perioada/data observației</w:t>
            </w:r>
          </w:p>
        </w:tc>
        <w:tc>
          <w:tcPr>
            <w:tcW w:w="1666" w:type="dxa"/>
            <w:shd w:fill="F5F5F5"/>
          </w:tcPr>
          <w:p>
            <w:pPr>
              <w:pStyle w:val="Body"/>
              <w:keepNext/>
            </w:pPr>
            <w:r>
              <w:t xml:space="preserve">Ediție · tabel · pagină</w:t>
            </w:r>
          </w:p>
        </w:tc>
        <w:tc>
          <w:tcPr>
            <w:tcW w:w="1666" w:type="dxa"/>
            <w:shd w:fill="F5F5F5"/>
          </w:tcPr>
          <w:p>
            <w:pPr>
              <w:pStyle w:val="Body"/>
              <w:keepNext/>
            </w:pPr>
            <w:r>
              <w:t xml:space="preserve">Valoare tipărită</w:t>
            </w:r>
          </w:p>
        </w:tc>
        <w:tc>
          <w:tcPr>
            <w:tcW w:w="1666" w:type="dxa"/>
            <w:shd w:fill="F5F5F5"/>
          </w:tcPr>
          <w:p>
            <w:pPr>
              <w:pStyle w:val="Body"/>
              <w:keepNext/>
            </w:pPr>
            <w:r>
              <w:t xml:space="preserve">Valoare Statbank</w:t>
            </w:r>
          </w:p>
        </w:tc>
        <w:tc>
          <w:tcPr>
            <w:tcW w:w="1666" w:type="dxa"/>
            <w:shd w:fill="F5F5F5"/>
          </w:tcPr>
          <w:p>
            <w:pPr>
              <w:pStyle w:val="Body"/>
              <w:keepNext/>
            </w:pPr>
            <w:r>
              <w:t xml:space="preserve">Statutul sursei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· Captarea apei raportată · 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2015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2023 · 2.1 · p.15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149,7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149.7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Concordant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· Captarea apei raportată · 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2016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2023 · 2.1 · p.15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152,5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152.5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Concordant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· Captarea apei raportată · 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2017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2023 · 2.1 · p.15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149,0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149.0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Concordant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· Captarea apei raportată · 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2018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2023 · 2.1 · p.15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151,3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151.3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Concordant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· Captarea apei raportată · 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2019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2023 · 2.1 · p.15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153,7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153.7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Concordant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· Captarea apei raportată · 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2020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2023 · 2.1 · p.15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160,1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160.1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Concordant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· Captarea apei raportată · 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2021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2023 · 2.1 · p.15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150,7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150.7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Concordant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· Captarea apei raportată · 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2022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2023 · 2.1 · p.15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159,9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160.0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Valorile publicate diferă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· Captarea apei raportată · 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2015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2024 · 2.1 · p.15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149,7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149.7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Concordant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· Captarea apei raportată · 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2016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2024 · 2.1 · p.15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152,5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152.5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Concordant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· Captarea apei raportată · 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2017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2024 · 2.1 · p.15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149,0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149.0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Concordant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· Captarea apei raportată · 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2018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2024 · 2.1 · p.15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151,3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151.3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Concordant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· Captarea apei raportată · 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2019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2024 · 2.1 · p.15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153,7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153.7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Concordant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· Captarea apei raportată · 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2020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2024 · 2.1 · p.15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160,1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160.1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Concordant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· Captarea apei raportată · 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2021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2024 · 2.1 · p.15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150,7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150.7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Concordant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· Captarea apei raportată · 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2022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2024 · 2.1 · p.15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159,9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160.0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Valorile publicate diferă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· Captarea apei raportată · 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2023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2024 · 2.1 · p.15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158,5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158.5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Concordant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· Captarea apei raportată · 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2015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2025 · 2.1 · p.15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149,7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149.7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Concordant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· Captarea apei raportată · 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2016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2025 · 2.1 · p.15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152,5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152.5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Concordant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· Captarea apei raportată · 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2017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2025 · 2.1 · p.15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149,0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149.0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Concordant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· Captarea apei raportată · 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2018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2025 · 2.1 · p.15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151,3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151.3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Concordant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· Captarea apei raportată · 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2019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2025 · 2.1 · p.15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153,7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153.7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Concordant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· Captarea apei raportată · 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2020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2025 · 2.1 · p.15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160,1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160.1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Concordant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· Captarea apei raportată · 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2021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2025 · 2.1 · p.15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150,7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150.7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Concordant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· Captarea apei raportată · 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2022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2025 · 2.1 · p.15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159,9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160.0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Valorile publicate diferă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· Captarea apei raportată · 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2023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2025 · 2.1 · p.15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158,5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158.5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Concordant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Republica Moldova · Captarea apei raportată · milioane m³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2024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2025 · 2.1 · p.15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165,0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165.0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Concordant</w:t>
            </w:r>
          </w:p>
        </w:tc>
      </w:tr>
    </w:tbl>
    <w:p>
      <w:pPr>
        <w:pStyle w:val="Heading1"/>
      </w:pPr>
      <w:r>
        <w:t xml:space="preserve">Surse și reproducibilitate</w:t>
      </w:r>
    </w:p>
    <w:p>
      <w:pPr>
        <w:keepNext/>
        <w:pStyle w:val="Body"/>
      </w:pPr>
      <w:r>
        <w:t xml:space="preserve">Versiunea este identificată prin datele originale și momentul preluării. Câmpul API de actualizare este o valoare tehnică, nu o dată validă a publicării. CUATM identifică teritoriile; corespondența nu reconstruiește hotarele istorice.</w:t>
      </w:r>
    </w:p>
    <w:tbl>
      <w:tblPr>
        <w:tblW w:w="10000" w:type="dxa"/>
        <w:tblBorders>
          <w:bottom w:val="single" w:sz="4" w:color="D9DFE8"/>
          <w:insideH w:val="single" w:sz="4" w:color="D9DFE8"/>
        </w:tblBorders>
      </w:tblPr>
      <w:tblGrid>
        <w:gridCol w:w="5000"/>
        <w:gridCol w:w="5000"/>
      </w:tblGrid>
      <w:tr>
        <w:trPr>
          <w:cantSplit/>
          <w:tblHeader/>
        </w:trPr>
        <w:tc>
          <w:tcPr>
            <w:tcW w:w="5000" w:type="dxa"/>
            <w:shd w:fill="F5F5F5"/>
          </w:tcPr>
          <w:p>
            <w:pPr>
              <w:pStyle w:val="Body"/>
              <w:keepNext/>
            </w:pPr>
            <w:r>
              <w:t xml:space="preserve">Surse și reproducibilitate</w:t>
            </w:r>
          </w:p>
        </w:tc>
        <w:tc>
          <w:tcPr>
            <w:tcW w:w="5000" w:type="dxa"/>
            <w:shd w:fill="F5F5F5"/>
          </w:tcPr>
          <w:p>
            <w:pPr>
              <w:pStyle w:val="Body"/>
              <w:keepNext/>
            </w:pPr>
            <w:r>
              <w:t xml:space="preserve">Valoare publicată</w:t>
            </w:r>
          </w:p>
        </w:tc>
      </w:tr>
      <w:tr>
        <w:trPr>
          <w:cantSplit/>
        </w:trPr>
        <w:tc>
          <w:tcPr>
            <w:tcW w:w="5000" w:type="dxa"/>
          </w:tcPr>
          <w:p>
            <w:pPr>
              <w:pStyle w:val="Body"/>
            </w:pPr>
            <w:r>
              <w:t xml:space="preserve">URL</w:t>
            </w:r>
          </w:p>
        </w:tc>
        <w:tc>
          <w:tcPr>
            <w:tcW w:w="5000" w:type="dxa"/>
          </w:tcPr>
          <w:p>
            <w:pPr>
              <w:pStyle w:val="Body"/>
            </w:pPr>
            <w:r>
              <w:t xml:space="preserve">https://statbank.statistica.md/PxWeb/api/v1/ro/10%20Mediul%20inconjurator/MED020/MED020500reg.px</w:t>
            </w:r>
          </w:p>
        </w:tc>
      </w:tr>
      <w:tr>
        <w:trPr>
          <w:cantSplit/>
        </w:trPr>
        <w:tc>
          <w:tcPr>
            <w:tcW w:w="5000" w:type="dxa"/>
          </w:tcPr>
          <w:p>
            <w:pPr>
              <w:pStyle w:val="Body"/>
            </w:pPr>
            <w:r>
              <w:t xml:space="preserve">SHA256</w:t>
            </w:r>
          </w:p>
        </w:tc>
        <w:tc>
          <w:tcPr>
            <w:tcW w:w="5000" w:type="dxa"/>
          </w:tcPr>
          <w:p>
            <w:pPr>
              <w:pStyle w:val="Body"/>
            </w:pPr>
            <w:r>
              <w:t xml:space="preserve">1aa60d8d98f7190242b442b155c708ec9308df3a38bf246a9aad1fc44937db2e</w:t>
            </w:r>
          </w:p>
        </w:tc>
      </w:tr>
      <w:tr>
        <w:trPr>
          <w:cantSplit/>
        </w:trPr>
        <w:tc>
          <w:tcPr>
            <w:tcW w:w="5000" w:type="dxa"/>
          </w:tcPr>
          <w:p>
            <w:pPr>
              <w:pStyle w:val="Body"/>
            </w:pPr>
            <w:r>
              <w:t xml:space="preserve">Preluat UTC</w:t>
            </w:r>
          </w:p>
        </w:tc>
        <w:tc>
          <w:tcPr>
            <w:tcW w:w="5000" w:type="dxa"/>
          </w:tcPr>
          <w:p>
            <w:pPr>
              <w:pStyle w:val="Body"/>
            </w:pPr>
            <w:r>
              <w:t xml:space="preserve">2026-10-16T13:15:34+00:00</w:t>
            </w:r>
          </w:p>
        </w:tc>
      </w:tr>
      <w:tr>
        <w:trPr>
          <w:cantSplit/>
        </w:trPr>
        <w:tc>
          <w:tcPr>
            <w:tcW w:w="5000" w:type="dxa"/>
          </w:tcPr>
          <w:p>
            <w:pPr>
              <w:pStyle w:val="Body"/>
            </w:pPr>
            <w:r>
              <w:t xml:space="preserve">API updated (raw)</w:t>
            </w:r>
          </w:p>
        </w:tc>
        <w:tc>
          <w:tcPr>
            <w:tcW w:w="5000" w:type="dxa"/>
          </w:tcPr>
          <w:p>
            <w:pPr>
              <w:pStyle w:val="Body"/>
            </w:pPr>
            <w:r>
              <w:t xml:space="preserve">9999-12-31T21:59:59Z</w:t>
            </w:r>
          </w:p>
        </w:tc>
      </w:tr>
      <w:tr>
        <w:trPr>
          <w:cantSplit/>
        </w:trPr>
        <w:tc>
          <w:tcPr>
            <w:tcW w:w="5000" w:type="dxa"/>
          </w:tcPr>
          <w:p>
            <w:pPr>
              <w:pStyle w:val="Body"/>
            </w:pPr>
            <w:r>
              <w:t xml:space="preserve">CUATM / AGR / MED SHA256</w:t>
            </w:r>
          </w:p>
        </w:tc>
        <w:tc>
          <w:tcPr>
            <w:tcW w:w="5000" w:type="dxa"/>
          </w:tcPr>
          <w:p>
            <w:pPr>
              <w:pStyle w:val="Body"/>
            </w:pPr>
            <w:r>
              <w:t xml:space="preserve">a615c7af87e56546528df3f5848f285984562851a9319f2a8ceb6095eb59258d</w:t>
            </w:r>
          </w:p>
        </w:tc>
      </w:tr>
      <w:tr>
        <w:trPr>
          <w:cantSplit/>
        </w:trPr>
        <w:tc>
          <w:tcPr>
            <w:tcW w:w="5000" w:type="dxa"/>
          </w:tcPr>
          <w:p>
            <w:pPr>
              <w:pStyle w:val="Body"/>
            </w:pPr>
            <w:r>
              <w:t xml:space="preserve">CC-BY-4.0</w:t>
            </w:r>
          </w:p>
        </w:tc>
        <w:tc>
          <w:tcPr>
            <w:tcW w:w="5000" w:type="dxa"/>
          </w:tcPr>
          <w:p>
            <w:pPr>
              <w:pStyle w:val="Body"/>
            </w:pPr>
            <w:r>
              <w:t xml:space="preserve">https://statistica.gov.md/en/copyright-139.html</w:t>
            </w:r>
          </w:p>
        </w:tc>
      </w:tr>
    </w:tbl>
    <w:p>
      <w:pPr>
        <w:pStyle w:val="Heading1"/>
      </w:pPr>
      <w:r>
        <w:t xml:space="preserve">Date, metode și limite</w:t>
      </w:r>
    </w:p>
    <w:p>
      <w:pPr>
        <w:pStyle w:val="Body"/>
      </w:pPr>
      <w:r>
        <w:t xml:space="preserve">Identificator raport: 6421a91690e03262d238ba780de3deed27ec3f879d71944cc906402b83d3c738</w:t>
      </w:r>
    </w:p>
    <w:p>
      <w:pPr>
        <w:pStyle w:val="Body"/>
      </w:pPr>
      <w:r>
        <w:t xml:space="preserve">Amprenta SHA-256 a conținutului: 6421a91690e03262d238ba780de3deed27ec3f879d71944cc906402b83d3c738</w:t>
      </w:r>
    </w:p>
    <w:p>
      <w:pPr>
        <w:pStyle w:val="Body"/>
      </w:pPr>
      <w:r>
        <w:t xml:space="preserve">Versiunea metodei: published-descriptive-series/1</w:t>
      </w:r>
    </w:p>
    <w:p>
      <w:pPr>
        <w:pStyle w:val="Body"/>
      </w:pPr>
      <w:r>
        <w:t xml:space="preserve">Versiunea raportului: country-bulletin/1.7.0</w:t>
      </w:r>
    </w:p>
    <w:p>
      <w:pPr>
        <w:pStyle w:val="Body"/>
      </w:pPr>
      <w:r>
        <w:t xml:space="preserve">Sursa: BNS Statbank · MED020500reg · https://statbank.statistica.md/PxWeb/api/v1/ro/10%20Mediul%20inconjurator/MED020/MED020500reg.px</w:t>
      </w:r>
    </w:p>
    <w:p>
      <w:pPr>
        <w:pStyle w:val="Body"/>
      </w:pPr>
      <w:r>
        <w:t xml:space="preserve">Licență: CC-BY-4.0 · https://statistica.gov.md/en/copyright-139.html</w:t>
      </w:r>
    </w:p>
    <w:p>
      <w:pPr>
        <w:pStyle w:val="Body"/>
      </w:pPr>
      <w:r>
        <w:t xml:space="preserve">Preluat la: 2026-10-16T13:15:34+00:00</w:t>
      </w:r>
    </w:p>
    <w:p>
      <w:pPr>
        <w:pStyle w:val="Body"/>
      </w:pPr>
      <w:r>
        <w:t xml:space="preserve">Versiunea datelor: cdef95be7fed45d17ae7c60abcb8b4c8a77f2e1013b5709aa44d94255e03a478</w:t>
      </w:r>
    </w:p>
    <w:p>
      <w:pPr>
        <w:pStyle w:val="Body"/>
      </w:pPr>
      <w:r>
        <w:t xml:space="preserve">Versiunea codului sursă (Git commit): 0f10f0f3c9248bad3f6f9bbd650027cb38b79dc8</w:t>
      </w:r>
    </w:p>
    <w:p>
      <w:pPr>
        <w:pStyle w:val="Body"/>
      </w:pPr>
      <w:r>
        <w:t xml:space="preserve">Conținutul codului sursă (Git tree): c3f2f9e07283199a4f821afd3dbb05e6f2c4b284</w:t>
      </w:r>
    </w:p>
    <w:p>
      <w:pPr>
        <w:pStyle w:val="Body"/>
      </w:pPr>
      <w:r>
        <w:t xml:space="preserve">Indice de risc climatic: Nu este calculat</w:t>
      </w:r>
    </w:p>
    <w:p>
      <w:pPr>
        <w:pStyle w:val="Body"/>
      </w:pPr>
      <w:r>
        <w:t xml:space="preserve">Starea indicelui de risc: Nu este calculat</w:t>
      </w:r>
    </w:p>
    <w:p>
      <w:pPr>
        <w:pStyle w:val="Body"/>
      </w:pPr>
      <w:r>
        <w:t xml:space="preserve">Starea raportului: Captarea și utilizarea raportate nu reprezintă resursele de apă disponibile sau volume autorizate pentru irigare. Efectivele de animale sunt stocuri la 1 ianuarie, nu producție anuală. Datele raionale nu descriu o parcelă. Nu se calculează densitatea animalelor, stresul hidric sau balanța îngrășămintelor.</w:t>
      </w:r>
    </w:p>
    <w:p>
      <w:pPr>
        <w:pStyle w:val="Body"/>
      </w:pPr>
      <w:r>
        <w:t xml:space="preserve">Numărul indicatorilor calculați: 0</w:t>
      </w:r>
    </w:p>
    <w:p>
      <w:pPr>
        <w:pStyle w:val="Body"/>
      </w:pPr>
      <w:r>
        <w:t xml:space="preserve">Versiunea generatorului comun de rapoarte: country-bulletin/1.7.0</w:t>
      </w:r>
    </w:p>
    <w:p>
      <w:pPr>
        <w:pStyle w:val="Body"/>
      </w:pPr>
      <w:r>
        <w:t xml:space="preserve">Codul țării: MD</w:t>
      </w:r>
    </w:p>
    <w:p>
      <w:pPr>
        <w:pStyle w:val="Body"/>
      </w:pPr>
      <w:r>
        <w:t xml:space="preserve">Țara: Moldova</w:t>
      </w:r>
    </w:p>
    <w:p>
      <w:pPr>
        <w:pStyle w:val="Body"/>
      </w:pPr>
      <w:r>
        <w:t xml:space="preserve">Date, metode și limite: Captarea și utilizarea raportate nu reprezintă resursele de apă disponibile sau volume autorizate pentru irigare. Efectivele de animale sunt stocuri la 1 ianuarie, nu producție anuală. Datele raionale nu descriu o parcelă. Nu se calculează densitatea animalelor, stresul hidric sau balanța îngrășămintelor.</w:t>
      </w:r>
    </w:p>
    <w:p>
      <w:pPr>
        <w:pStyle w:val="Body"/>
      </w:pPr>
      <w:r>
        <w:t xml:space="preserve">Date, metode și limite: 32 de raioane, 2 municipii și UTA Găgăuzia. Totalul național și rândurile Nord/Centru/Sud sunt agregate, nu raioane suplimentare. Sursa exclude partea stângă a Nistrului și municipiul Bender.</w:t>
      </w:r>
    </w:p>
    <w:p>
      <w:pPr>
        <w:pStyle w:val="Body"/>
      </w:pPr>
      <w:r>
        <w:t xml:space="preserve">Date, metode și limite: Simbolurile originale se păstrează: linia în tabelul efectivelor este simbolul „-” al BNS: valoarea nu este publicată, nu este zero numeric; trei puncte indică lipsa datelor. Două puncte rămân un simbol cu semnificație neconfirmată. Aceste simboluri nu sunt transformate în zero numeric. Valoarea tipărită 0.0 poate indica o valoare mică rotunjită. Vacile fac parte din bovine, nu se adaugă la total. Categoria vaci nu include vacile la îngrășare.</w:t>
      </w:r>
    </w:p>
    <w:p>
      <w:pPr>
        <w:pStyle w:val="Body"/>
      </w:pPr>
      <w:r>
        <w:t xml:space="preserve">Date, metode și limite: Apă: fluxuri anuale raportate, 2008–2025. Animale: efectiv la 1 ianuarie, 2007–2026. Anii reprezintă observațiile, nu edițiile publicațiilor.</w:t>
      </w:r>
    </w:p>
    <w:sectPr>
      <w:pgSz w:w="11906" w:h="16838"/>
      <w:pgMar w:top="1000" w:right="900" w:bottom="1000" w:left="9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IBM Plex Sans" w:hAnsi="IBM Plex Sans"/>
        <w:sz w:val="20"/>
        <w:lang w:val="ro"/>
      </w:rPr>
    </w:rPrDefault>
  </w:docDefaults>
  <w:style w:type="paragraph" w:styleId="Body">
    <w:name w:val="Body"/>
    <w:pPr>
      <w:spacing w:after="100"/>
    </w:pPr>
  </w:style>
  <w:style w:type="paragraph" w:styleId="Title">
    <w:name w:val="Title"/>
    <w:rPr>
      <w:b/>
      <w:color w:val="383838"/>
      <w:sz w:val="40"/>
    </w:rPr>
  </w:style>
  <w:style w:type="paragraph" w:styleId="Subtitle">
    <w:name w:val="Subtitle"/>
    <w:rPr>
      <w:color w:val="60697B"/>
    </w:rPr>
  </w:style>
  <w:style w:type="paragraph" w:styleId="Heading1">
    <w:name w:val="Heading1"/>
    <w:pPr>
      <w:keepNext/>
      <w:outlineLvl w:val="0"/>
      <w:spacing w:before="240" w:after="120"/>
    </w:pPr>
    <w:rPr>
      <w:b/>
      <w:color w:val="383838"/>
      <w:sz w:val="26"/>
    </w:rPr>
  </w:style>
</w:styles>
</file>

<file path=word/_rels/document.xml.rels><?xml version="1.0"?><Relationships xmlns="http://schemas.openxmlformats.org/package/2006/relationships"><Relationship Id="rId1" Type="http://schemas.openxmlformats.org/officeDocument/2006/relationships/styles" Target="styles.xml"/><Relationship Id="rIdLogo" Type="http://schemas.openxmlformats.org/officeDocument/2006/relationships/image" Target="media/terrascore-logo.png"/></Relationships>
</file>